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0"/>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10"/>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10"/>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t xml:space="preserve">项目名称：2026年宿豫区冬小麦促弱转壮行动项目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JSZC-321311-SXSD-G2026-0012</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10"/>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10"/>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采购人：宿迁市宿豫区农业技术综合服务中心</w:t>
      </w:r>
      <w:r/>
    </w:p>
    <w:p>
      <w:pPr>
        <w:pStyle w:val="910"/>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采购代理机构：江苏新时代工程项目管理有限公司</w:t>
      </w:r>
      <w:r/>
    </w:p>
    <w:p>
      <w:pPr>
        <w:pStyle w:val="910"/>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2026年4月28日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4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4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4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4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4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47"/>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27"/>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宿迁市宿豫区农业技术综合服务中心</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2026年宿豫区冬小麦促弱转壮行动项目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JSZC-321311-SXSD-G2026-0012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2026年宿豫区冬小麦促弱转壮行动项目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25</w:t>
      </w:r>
      <w:r>
        <w:rPr>
          <w:rFonts w:hint="eastAsia" w:ascii="宋体" w:hAnsi="宋体" w:eastAsia="宋体" w:cs="宋体"/>
          <w:b/>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790"/>
      <w:r/>
      <w:bookmarkStart w:id="2" w:name="_Toc28359079"/>
      <w:r/>
      <w:bookmarkStart w:id="3" w:name="_Toc38985263"/>
      <w:r/>
      <w:bookmarkStart w:id="4" w:name="_Toc35393621"/>
      <w:r/>
      <w:bookmarkStart w:id="5" w:name="_Toc28359002"/>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JSZC-321311-SXSD-G2026-0012</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2026年宿豫区冬小麦促弱转壮行动项目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eastAsia="zh-CN"/>
        </w:rPr>
        <w:t xml:space="preserve">217</w:t>
      </w:r>
      <w:r>
        <w:rPr>
          <w:rFonts w:hint="eastAsia" w:ascii="宋体" w:hAnsi="宋体" w:eastAsia="宋体" w:cs="宋体"/>
          <w:color w:val="auto"/>
          <w:sz w:val="24"/>
          <w:szCs w:val="24"/>
          <w:highlight w:val="none"/>
        </w:rPr>
        <w:t xml:space="preserve">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价，最高限单价为</w:t>
      </w:r>
      <w:r>
        <w:rPr>
          <w:rFonts w:hint="eastAsia" w:ascii="宋体" w:hAnsi="宋体" w:eastAsia="宋体" w:cs="宋体"/>
          <w:color w:val="auto"/>
          <w:sz w:val="24"/>
          <w:szCs w:val="24"/>
          <w:highlight w:val="none"/>
          <w:lang w:eastAsia="zh-CN"/>
        </w:rPr>
        <w:t xml:space="preserve">2.3元/kg</w:t>
      </w:r>
      <w:r>
        <w:rPr>
          <w:rFonts w:hint="eastAsia" w:ascii="宋体" w:hAnsi="宋体" w:eastAsia="宋体" w:cs="宋体"/>
          <w:color w:val="auto"/>
          <w:sz w:val="24"/>
          <w:szCs w:val="24"/>
          <w:highlight w:val="none"/>
        </w:rPr>
        <w:t xml:space="preserve">，超过最高限</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2026年宿豫区冬小麦促弱转壮行动项目</w:t>
      </w:r>
      <w:r>
        <w:rPr>
          <w:rFonts w:hint="eastAsia" w:ascii="宋体" w:hAnsi="宋体" w:eastAsia="宋体" w:cs="宋体"/>
          <w:color w:val="auto"/>
          <w:sz w:val="24"/>
          <w:szCs w:val="24"/>
          <w:highlight w:val="none"/>
        </w:rPr>
        <w:t xml:space="preserve">，详细内容见本招标文件第四章。</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合同签订后按采购单位要求3日内完成供货</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791"/>
      <w:r/>
      <w:bookmarkStart w:id="8" w:name="_Toc38985264"/>
      <w:r/>
      <w:bookmarkStart w:id="9" w:name="_Toc28359080"/>
      <w:r/>
      <w:bookmarkStart w:id="10" w:name="_Toc28359003"/>
      <w:r/>
      <w:bookmarkStart w:id="11" w:name="_Toc35393622"/>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35393623"/>
      <w:r/>
      <w:bookmarkStart w:id="13" w:name="_Toc28359004"/>
      <w:r/>
      <w:bookmarkStart w:id="14" w:name="_Toc35393792"/>
      <w:r/>
      <w:bookmarkStart w:id="15" w:name="_Toc38985265"/>
      <w:r/>
      <w:bookmarkStart w:id="16"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82"/>
      <w:r/>
      <w:bookmarkStart w:id="18" w:name="_Toc28359005"/>
      <w:r/>
      <w:bookmarkStart w:id="19" w:name="_Toc38985266"/>
      <w:r/>
      <w:bookmarkStart w:id="20" w:name="_Toc35393793"/>
      <w:r/>
      <w:bookmarkStart w:id="21" w:name="_Toc35393624"/>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09点30分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5393625"/>
      <w:r/>
      <w:bookmarkStart w:id="25" w:name="_Toc28359007"/>
      <w:r/>
      <w:bookmarkStart w:id="26" w:name="_Toc38985267"/>
      <w:r/>
      <w:bookmarkStart w:id="27" w:name="_Toc35393794"/>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5393795"/>
      <w:r/>
      <w:bookmarkStart w:id="29" w:name="_Toc35393626"/>
      <w:r/>
      <w:bookmarkStart w:id="30" w:name="_Toc38985268"/>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28359008"/>
      <w:r/>
      <w:bookmarkStart w:id="33" w:name="_Toc38985269"/>
      <w:r/>
      <w:bookmarkStart w:id="34" w:name="_Toc35393627"/>
      <w:r/>
      <w:bookmarkStart w:id="35" w:name="_Toc35393796"/>
      <w:r/>
      <w:bookmarkStart w:id="36" w:name="_Toc28359085"/>
      <w:r>
        <w:rPr>
          <w:rFonts w:hint="eastAsia" w:ascii="宋体" w:hAnsi="宋体" w:eastAsia="宋体" w:cs="宋体"/>
          <w:bCs/>
          <w:color w:val="auto"/>
          <w:sz w:val="24"/>
          <w:szCs w:val="24"/>
          <w:highlight w:val="none"/>
        </w:rPr>
        <w:t xml:space="preserve">1.财政部门监督电话：0527-</w:t>
      </w:r>
      <w:r>
        <w:rPr>
          <w:rFonts w:hint="eastAsia" w:ascii="宋体" w:hAnsi="宋体" w:eastAsia="宋体" w:cs="宋体"/>
          <w:bCs/>
          <w:color w:val="auto"/>
          <w:sz w:val="24"/>
          <w:szCs w:val="24"/>
          <w:highlight w:val="none"/>
          <w:lang w:eastAsia="zh-CN"/>
        </w:rPr>
        <w:t xml:space="preserve">84465519</w:t>
      </w:r>
      <w:r>
        <w:rPr>
          <w:rFonts w:hint="eastAsia" w:ascii="宋体" w:hAnsi="宋体" w:eastAsia="宋体" w:cs="宋体"/>
          <w:bCs/>
          <w:color w:val="auto"/>
          <w:sz w:val="24"/>
          <w:szCs w:val="24"/>
          <w:highlight w:val="none"/>
        </w:rPr>
        <w:t xml:space="preserve">。</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5.现场勘察及答疑：本项目不组织集中勘察及答疑，投标人如对采购需求有疑问，请咨询采购单位联系人。</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09"/>
      <w:r/>
      <w:bookmarkStart w:id="38" w:name="_Toc28359086"/>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宿迁市宿豫区农业技术综合服务中心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宿迁市宿豫区珠江路1006号农林大厦</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杨意</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13228718508</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宿迁市君临国际C幢4楼西首 </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联系人：李范范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rPr>
        <w:t xml:space="preserve">18360032585</w:t>
      </w:r>
      <w:r/>
    </w:p>
    <w:p>
      <w:pPr>
        <w:pStyle w:val="72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27"/>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16938518"/>
      <w:r/>
      <w:bookmarkStart w:id="43" w:name="_Toc20823274"/>
      <w:r/>
      <w:bookmarkStart w:id="44" w:name="_Toc513029202"/>
      <w:r/>
      <w:bookmarkStart w:id="45" w:name="_Toc120614213"/>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p>
      <w:pPr>
        <w:pStyle w:val="729"/>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46" w:name="_Toc120614214"/>
      <w:r/>
      <w:bookmarkStart w:id="47" w:name="_Toc16938519"/>
      <w:r/>
      <w:bookmarkStart w:id="48" w:name="_Toc20823275"/>
      <w:r/>
      <w:bookmarkStart w:id="49" w:name="_Toc513029203"/>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0" w:name="_Hlt16619475"/>
      <w:r/>
      <w:bookmarkEnd w:id="50"/>
      <w:r/>
      <w:bookmarkStart w:id="51" w:name="_Toc458694821"/>
      <w:r/>
      <w:bookmarkStart w:id="52" w:name="_Toc20823276"/>
      <w:r/>
      <w:bookmarkStart w:id="53" w:name="_Toc16938520"/>
      <w:r/>
      <w:bookmarkStart w:id="54" w:name="_Toc513029204"/>
      <w:r>
        <w:rPr>
          <w:rFonts w:hint="eastAsia" w:ascii="宋体" w:hAnsi="宋体" w:eastAsia="宋体" w:cs="宋体"/>
          <w:b w:val="0"/>
          <w:bCs w:val="0"/>
          <w:color w:val="auto"/>
          <w:sz w:val="24"/>
          <w:szCs w:val="24"/>
          <w:highlight w:val="none"/>
          <w:lang w:eastAsia="zh-CN"/>
        </w:rPr>
        <w:t xml:space="preserve">1.</w:t>
      </w:r>
      <w:bookmarkEnd w:id="51"/>
      <w:r>
        <w:rPr>
          <w:rFonts w:hint="eastAsia" w:ascii="宋体" w:hAnsi="宋体" w:eastAsia="宋体" w:cs="宋体"/>
          <w:b w:val="0"/>
          <w:bCs w:val="0"/>
          <w:color w:val="auto"/>
          <w:sz w:val="24"/>
          <w:szCs w:val="24"/>
          <w:highlight w:val="none"/>
        </w:rPr>
        <w:t xml:space="preserve">招标方式</w:t>
      </w:r>
      <w:bookmarkEnd w:id="52"/>
      <w:r/>
      <w:bookmarkEnd w:id="53"/>
      <w:r/>
      <w:bookmarkEnd w:id="5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5" w:name="_Toc513029205"/>
      <w:r/>
      <w:bookmarkStart w:id="56" w:name="_Toc20823277"/>
      <w:r/>
      <w:bookmarkStart w:id="57"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55"/>
      <w:r/>
      <w:bookmarkEnd w:id="56"/>
      <w:r/>
      <w:bookmarkEnd w:id="5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8" w:name="_Toc16938522"/>
      <w:r/>
      <w:bookmarkStart w:id="59" w:name="_Toc20823278"/>
      <w:r/>
      <w:bookmarkStart w:id="60" w:name="_Toc513029206"/>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58"/>
      <w:r/>
      <w:bookmarkEnd w:id="59"/>
      <w:r/>
      <w:bookmarkEnd w:id="6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1" w:name="_Toc462564067"/>
      <w:r/>
      <w:bookmarkStart w:id="62" w:name="_Toc20823279"/>
      <w:r/>
      <w:bookmarkStart w:id="63" w:name="_Toc513029207"/>
      <w:r/>
      <w:bookmarkStart w:id="64" w:name="_Toc16938523"/>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61"/>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 江苏新时代工程项目管理有限公司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11"/>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参照国家计委计价格〔2002〕1980号收费标准*7</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zh-CN"/>
        </w:rPr>
        <w:t xml:space="preserve">%支付，支付方式可以通过转账或数字人民币等方式，评审费据实收取。支付方式可以通过转账或数字人民币等方式。</w:t>
      </w:r>
      <w:r/>
    </w:p>
    <w:p>
      <w:pPr>
        <w:pStyle w:val="730"/>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29"/>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65" w:name="_Toc16938525"/>
      <w:r/>
      <w:bookmarkStart w:id="66" w:name="_Toc513029209"/>
      <w:r/>
      <w:bookmarkStart w:id="67" w:name="_Toc20823281"/>
      <w:r/>
      <w:bookmarkStart w:id="68" w:name="_Toc120614215"/>
      <w:r>
        <w:rPr>
          <w:rFonts w:hint="eastAsia" w:ascii="宋体" w:hAnsi="宋体" w:eastAsia="宋体" w:cs="宋体"/>
          <w:b/>
          <w:bCs/>
          <w:color w:val="auto"/>
          <w:sz w:val="24"/>
          <w:szCs w:val="24"/>
          <w:highlight w:val="none"/>
        </w:rPr>
        <w:t xml:space="preserve">二、招标文件</w:t>
      </w:r>
      <w:bookmarkEnd w:id="65"/>
      <w:r/>
      <w:bookmarkEnd w:id="66"/>
      <w:r/>
      <w:bookmarkEnd w:id="67"/>
      <w:r/>
      <w:bookmarkEnd w:id="68"/>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9" w:name="_Toc20823282"/>
      <w:r/>
      <w:bookmarkStart w:id="70" w:name="_Toc16938526"/>
      <w:r/>
      <w:bookmarkStart w:id="71"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69"/>
      <w:r/>
      <w:bookmarkEnd w:id="70"/>
      <w:r/>
      <w:bookmarkEnd w:id="7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2" w:name="_Toc16938527"/>
      <w:r/>
      <w:bookmarkStart w:id="73" w:name="_Toc20823283"/>
      <w:r/>
      <w:bookmarkStart w:id="74" w:name="_Toc513029211"/>
      <w:r/>
      <w:bookmarkStart w:id="75"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72"/>
      <w:r/>
      <w:bookmarkEnd w:id="73"/>
      <w:r/>
      <w:bookmarkEnd w:id="74"/>
      <w:r/>
      <w:bookmarkEnd w:id="7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3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6" w:name="_Toc20823284"/>
      <w:r/>
      <w:bookmarkStart w:id="77" w:name="_Toc16938528"/>
      <w:r/>
      <w:bookmarkStart w:id="78" w:name="_Toc462564071"/>
      <w:r/>
      <w:bookmarkStart w:id="79" w:name="_Toc513029212"/>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76"/>
      <w:r/>
      <w:bookmarkEnd w:id="77"/>
      <w:r/>
      <w:bookmarkEnd w:id="78"/>
      <w:r/>
      <w:bookmarkEnd w:id="7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29"/>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0" w:name="_Toc462564072"/>
      <w:r/>
      <w:bookmarkStart w:id="81" w:name="_Toc20823285"/>
      <w:r/>
      <w:bookmarkStart w:id="82" w:name="_Toc16938529"/>
      <w:r/>
      <w:bookmarkStart w:id="83" w:name="_Toc513029213"/>
      <w:r/>
      <w:bookmarkStart w:id="84" w:name="_Toc120614216"/>
      <w:r>
        <w:rPr>
          <w:rFonts w:hint="eastAsia" w:ascii="宋体" w:hAnsi="宋体" w:eastAsia="宋体" w:cs="宋体"/>
          <w:b/>
          <w:bCs/>
          <w:color w:val="auto"/>
          <w:sz w:val="24"/>
          <w:szCs w:val="24"/>
          <w:highlight w:val="none"/>
        </w:rPr>
        <w:t xml:space="preserve">三、投标文件的编制</w:t>
      </w:r>
      <w:bookmarkEnd w:id="80"/>
      <w:r/>
      <w:bookmarkEnd w:id="81"/>
      <w:r/>
      <w:bookmarkEnd w:id="82"/>
      <w:r/>
      <w:bookmarkEnd w:id="83"/>
      <w:r/>
      <w:bookmarkEnd w:id="84"/>
      <w:r/>
      <w:r/>
    </w:p>
    <w:p>
      <w:pPr>
        <w:pStyle w:val="730"/>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85" w:name="_Toc462564073"/>
      <w:r/>
      <w:bookmarkStart w:id="86" w:name="_Toc513029214"/>
      <w:r/>
      <w:bookmarkStart w:id="87" w:name="_Toc20823286"/>
      <w:r/>
      <w:bookmarkStart w:id="88" w:name="_Toc16938530"/>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9" w:name="_Toc513029215"/>
      <w:r/>
      <w:bookmarkStart w:id="90" w:name="_Toc20823287"/>
      <w:r/>
      <w:bookmarkStart w:id="91" w:name="_Toc16938531"/>
      <w:r/>
      <w:bookmarkStart w:id="92"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89"/>
      <w:r/>
      <w:bookmarkEnd w:id="90"/>
      <w:r/>
      <w:bookmarkEnd w:id="91"/>
      <w:r/>
      <w:bookmarkEnd w:id="9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9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3"/>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4" w:name="_Hlt26668975"/>
      <w:r/>
      <w:bookmarkEnd w:id="94"/>
      <w:r/>
      <w:bookmarkStart w:id="95" w:name="_Hlt26954838"/>
      <w:r/>
      <w:bookmarkEnd w:id="95"/>
      <w:r/>
      <w:bookmarkStart w:id="96" w:name="_Hlt26670360"/>
      <w:r/>
      <w:bookmarkEnd w:id="96"/>
      <w:r/>
      <w:bookmarkStart w:id="97" w:name="_Toc14577354"/>
      <w:r/>
      <w:bookmarkStart w:id="98" w:name="_Toc14577357"/>
      <w:r/>
      <w:bookmarkStart w:id="99" w:name="_Toc513029219"/>
      <w:r/>
      <w:bookmarkStart w:id="100" w:name="_Toc49090507"/>
      <w:r/>
      <w:bookmarkStart w:id="101" w:name="_Toc513029216"/>
      <w:r/>
      <w:bookmarkStart w:id="102" w:name="_Toc4909050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97"/>
      <w:r/>
      <w:bookmarkEnd w:id="98"/>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03" w:name="_Toc14577355"/>
      <w:r/>
      <w:bookmarkStart w:id="10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3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03"/>
      <w:r/>
      <w:bookmarkStart w:id="105" w:name="_Hlt26670373"/>
      <w:r/>
      <w:bookmarkEnd w:id="105"/>
      <w:r>
        <w:rPr>
          <w:rFonts w:hint="eastAsia" w:ascii="宋体" w:hAnsi="宋体" w:eastAsia="宋体" w:cs="宋体"/>
          <w:b w:val="0"/>
          <w:bCs w:val="0"/>
          <w:color w:val="auto"/>
          <w:sz w:val="24"/>
          <w:szCs w:val="24"/>
          <w:highlight w:val="none"/>
        </w:rPr>
        <w:t xml:space="preserve">表</w:t>
      </w:r>
      <w:bookmarkEnd w:id="10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06" w:name="_Hlt26954840"/>
      <w:r/>
      <w:bookmarkEnd w:id="106"/>
      <w:r>
        <w:rPr>
          <w:rFonts w:hint="eastAsia" w:ascii="宋体" w:hAnsi="宋体" w:eastAsia="宋体" w:cs="宋体"/>
          <w:color w:val="auto"/>
          <w:sz w:val="24"/>
          <w:szCs w:val="24"/>
          <w:highlight w:val="none"/>
        </w:rPr>
        <w:t xml:space="preserve">标人应按照招标文件规定格式填报投标分项报价表</w:t>
      </w:r>
      <w:bookmarkStart w:id="107" w:name="_Hlt26670399"/>
      <w:r/>
      <w:bookmarkEnd w:id="10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8" w:name="_Hlt26670486"/>
      <w:r/>
      <w:bookmarkEnd w:id="108"/>
      <w:r/>
      <w:bookmarkStart w:id="109" w:name="_Hlt26668983"/>
      <w:r/>
      <w:bookmarkEnd w:id="109"/>
      <w:r/>
      <w:bookmarkStart w:id="110" w:name="_Hlt26670425"/>
      <w:r/>
      <w:bookmarkEnd w:id="110"/>
      <w:r/>
      <w:bookmarkStart w:id="111" w:name="_Hlt26670403"/>
      <w:r/>
      <w:bookmarkEnd w:id="111"/>
      <w:r/>
      <w:bookmarkStart w:id="112" w:name="_Hlt26954731"/>
      <w:r/>
      <w:bookmarkEnd w:id="112"/>
      <w:r/>
      <w:bookmarkStart w:id="113" w:name="_Hlt26670482"/>
      <w:r/>
      <w:bookmarkEnd w:id="113"/>
      <w:r/>
      <w:bookmarkStart w:id="114" w:name="_Hlt26954842"/>
      <w:r/>
      <w:bookmarkEnd w:id="114"/>
      <w:r/>
      <w:bookmarkStart w:id="115" w:name="_Hlt26954848"/>
      <w:r/>
      <w:bookmarkEnd w:id="115"/>
      <w:r/>
      <w:bookmarkStart w:id="116" w:name="_Hlt26954846"/>
      <w:r/>
      <w:bookmarkEnd w:id="116"/>
      <w:r/>
      <w:bookmarkStart w:id="117" w:name="_Hlt26954844"/>
      <w:r/>
      <w:bookmarkEnd w:id="117"/>
      <w:r/>
      <w:bookmarkStart w:id="118" w:name="_Toc14577359"/>
      <w:r/>
      <w:bookmarkStart w:id="11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18"/>
      <w:r/>
      <w:bookmarkEnd w:id="119"/>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23"/>
      <w:r/>
      <w:bookmarkEnd w:id="12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2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25" w:name="_Hlt26954739"/>
      <w:r/>
      <w:bookmarkEnd w:id="125"/>
      <w:r/>
      <w:bookmarkStart w:id="126" w:name="_Hlt26954852"/>
      <w:r/>
      <w:bookmarkEnd w:id="126"/>
      <w:r/>
      <w:bookmarkStart w:id="127" w:name="_Toc120614217"/>
      <w:r/>
      <w:bookmarkStart w:id="128" w:name="_Toc513029224"/>
      <w:r/>
      <w:bookmarkStart w:id="129" w:name="_Toc16938540"/>
      <w:r/>
      <w:bookmarkStart w:id="130" w:name="_Toc20823296"/>
      <w:r>
        <w:rPr>
          <w:rFonts w:hint="eastAsia" w:ascii="宋体" w:hAnsi="宋体" w:eastAsia="宋体" w:cs="宋体"/>
          <w:b/>
          <w:bCs/>
          <w:color w:val="auto"/>
          <w:sz w:val="24"/>
          <w:szCs w:val="24"/>
          <w:highlight w:val="none"/>
        </w:rPr>
        <w:t xml:space="preserve">四、投标文件的递交</w:t>
      </w:r>
      <w:bookmarkEnd w:id="127"/>
      <w:r/>
      <w:bookmarkEnd w:id="128"/>
      <w:r/>
      <w:bookmarkEnd w:id="129"/>
      <w:r/>
      <w:bookmarkEnd w:id="130"/>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1" w:name="_Toc16938541"/>
      <w:r/>
      <w:bookmarkStart w:id="132" w:name="_Toc20823297"/>
      <w:r/>
      <w:bookmarkStart w:id="133" w:name="_Toc462564084"/>
      <w:r/>
      <w:bookmarkStart w:id="134" w:name="_Toc513029225"/>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31"/>
      <w:r/>
      <w:bookmarkEnd w:id="132"/>
      <w:r/>
      <w:bookmarkEnd w:id="133"/>
      <w:r/>
      <w:bookmarkEnd w:id="13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35" w:name="_Toc20823298"/>
      <w:r/>
      <w:bookmarkStart w:id="136" w:name="_Toc16938542"/>
      <w:r/>
      <w:bookmarkStart w:id="137" w:name="_Toc51302922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35"/>
      <w:r/>
      <w:bookmarkEnd w:id="136"/>
      <w:r/>
      <w:bookmarkEnd w:id="13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8" w:name="_Toc20823299"/>
      <w:r/>
      <w:bookmarkStart w:id="139" w:name="_Toc513029227"/>
      <w:r/>
      <w:bookmarkStart w:id="140"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38"/>
      <w:r/>
      <w:bookmarkEnd w:id="139"/>
      <w:r/>
      <w:bookmarkEnd w:id="14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20823300"/>
      <w:r/>
      <w:bookmarkStart w:id="142" w:name="_Toc16938544"/>
      <w:r/>
      <w:bookmarkStart w:id="143" w:name="_Toc513029228"/>
      <w:r/>
      <w:bookmarkStart w:id="144" w:name="_Toc20823301"/>
      <w:r/>
      <w:bookmarkStart w:id="145" w:name="_Toc16938545"/>
      <w:r/>
      <w:bookmarkStart w:id="146" w:name="_Toc120614218"/>
      <w:r/>
      <w:bookmarkStart w:id="147" w:name="_Toc513029229"/>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41"/>
      <w:r/>
      <w:bookmarkEnd w:id="142"/>
      <w:r/>
      <w:bookmarkEnd w:id="14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2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44"/>
      <w:r/>
      <w:bookmarkEnd w:id="145"/>
      <w:r/>
      <w:bookmarkEnd w:id="146"/>
      <w:r/>
      <w:bookmarkEnd w:id="147"/>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20823302"/>
      <w:r/>
      <w:bookmarkStart w:id="149" w:name="_Toc513029230"/>
      <w:r/>
      <w:bookmarkStart w:id="150" w:name="_Toc16938546"/>
      <w:r/>
      <w:bookmarkStart w:id="151" w:name="_Toc513029231"/>
      <w:r/>
      <w:bookmarkStart w:id="152" w:name="_Toc20823303"/>
      <w:r/>
      <w:bookmarkStart w:id="153" w:name="_Toc16938547"/>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48"/>
      <w:r/>
      <w:bookmarkEnd w:id="149"/>
      <w:r/>
      <w:bookmarkEnd w:id="150"/>
      <w:r/>
      <w:r/>
    </w:p>
    <w:p>
      <w:pPr>
        <w:pStyle w:val="913"/>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13"/>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4" w:name="_Toc16938548"/>
      <w:r/>
      <w:bookmarkStart w:id="155" w:name="_Toc513029232"/>
      <w:r/>
      <w:bookmarkStart w:id="156"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54"/>
      <w:r/>
      <w:bookmarkEnd w:id="155"/>
      <w:r/>
      <w:bookmarkEnd w:id="15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13"/>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20823305"/>
      <w:r/>
      <w:bookmarkStart w:id="158" w:name="_Toc16938549"/>
      <w:r/>
      <w:bookmarkStart w:id="159"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57"/>
      <w:r/>
      <w:bookmarkEnd w:id="158"/>
      <w:r/>
      <w:bookmarkEnd w:id="15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0" w:name="_Toc16938550"/>
      <w:r/>
      <w:bookmarkStart w:id="161" w:name="_Toc513029234"/>
      <w:r/>
      <w:bookmarkStart w:id="16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0"/>
      <w:r/>
      <w:bookmarkEnd w:id="161"/>
      <w:r/>
      <w:bookmarkEnd w:id="16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63" w:name="_Toc16938551"/>
      <w:r/>
      <w:bookmarkStart w:id="164" w:name="_Toc513029235"/>
      <w:r/>
      <w:bookmarkStart w:id="165"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2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66" w:name="_Toc120614219"/>
      <w:r>
        <w:rPr>
          <w:rFonts w:hint="eastAsia" w:ascii="宋体" w:hAnsi="宋体" w:eastAsia="宋体" w:cs="宋体"/>
          <w:b/>
          <w:bCs/>
          <w:color w:val="auto"/>
          <w:sz w:val="24"/>
          <w:szCs w:val="24"/>
          <w:highlight w:val="none"/>
        </w:rPr>
        <w:t xml:space="preserve">六、</w:t>
      </w:r>
      <w:bookmarkEnd w:id="163"/>
      <w:r/>
      <w:bookmarkEnd w:id="164"/>
      <w:r/>
      <w:bookmarkEnd w:id="165"/>
      <w:r>
        <w:rPr>
          <w:rFonts w:hint="eastAsia" w:ascii="宋体" w:hAnsi="宋体" w:eastAsia="宋体" w:cs="宋体"/>
          <w:b/>
          <w:bCs/>
          <w:color w:val="auto"/>
          <w:sz w:val="24"/>
          <w:szCs w:val="24"/>
          <w:highlight w:val="none"/>
        </w:rPr>
        <w:t xml:space="preserve">定标</w:t>
      </w:r>
      <w:bookmarkEnd w:id="166"/>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67" w:name="_Toc513029238"/>
      <w:r/>
      <w:bookmarkStart w:id="168" w:name="_Toc16938554"/>
      <w:r/>
      <w:bookmarkStart w:id="169" w:name="_Toc20823310"/>
      <w:r>
        <w:rPr>
          <w:rFonts w:hint="eastAsia" w:ascii="宋体" w:hAnsi="宋体" w:eastAsia="宋体" w:cs="宋体"/>
          <w:b w:val="0"/>
          <w:color w:val="auto"/>
          <w:sz w:val="24"/>
          <w:szCs w:val="24"/>
          <w:highlight w:val="none"/>
          <w:lang w:eastAsia="zh-CN"/>
        </w:rPr>
        <w:t xml:space="preserve">28.</w:t>
      </w:r>
      <w:bookmarkEnd w:id="167"/>
      <w:r>
        <w:rPr>
          <w:rFonts w:hint="eastAsia" w:ascii="宋体" w:hAnsi="宋体" w:eastAsia="宋体" w:cs="宋体"/>
          <w:b w:val="0"/>
          <w:color w:val="auto"/>
          <w:sz w:val="24"/>
          <w:szCs w:val="24"/>
          <w:highlight w:val="none"/>
        </w:rPr>
        <w:t xml:space="preserve">确定</w:t>
      </w:r>
      <w:bookmarkEnd w:id="168"/>
      <w:r/>
      <w:bookmarkEnd w:id="16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宿迁市宿豫区农业技术综合服务中心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江苏新时代工程项目管理有限公司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13228718508</w:t>
      </w:r>
      <w:r>
        <w:rPr>
          <w:rFonts w:hint="eastAsia" w:ascii="宋体" w:hAnsi="宋体" w:eastAsia="宋体" w:cs="宋体"/>
          <w:color w:val="auto"/>
          <w:sz w:val="24"/>
          <w:szCs w:val="24"/>
          <w:highlight w:val="none"/>
        </w:rPr>
        <w:t xml:space="preserve">/18360032585</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宿迁市宿豫区珠江路1006号农林大厦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宿迁市君临国际C幢4楼西首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1" w:name="_Toc20823308"/>
      <w:r/>
      <w:bookmarkStart w:id="172" w:name="_Toc16938552"/>
      <w:r/>
      <w:bookmarkStart w:id="173" w:name="_Toc120614220"/>
      <w:r/>
      <w:bookmarkStart w:id="174" w:name="_Toc513029236"/>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2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71"/>
      <w:r/>
      <w:bookmarkEnd w:id="172"/>
      <w:r/>
      <w:bookmarkEnd w:id="173"/>
      <w:r/>
      <w:bookmarkEnd w:id="174"/>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5" w:name="_Toc16938553"/>
      <w:r/>
      <w:bookmarkStart w:id="176" w:name="_Toc513029237"/>
      <w:r/>
      <w:bookmarkStart w:id="177" w:name="_Toc20823309"/>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5"/>
      <w:r/>
      <w:bookmarkEnd w:id="176"/>
      <w:r/>
      <w:bookmarkEnd w:id="177"/>
      <w:r/>
      <w:r/>
    </w:p>
    <w:p>
      <w:pPr>
        <w:pStyle w:val="73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38"/>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0"/>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7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7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进度款：验收合格后，支付至合同总价款的100%（无息），由财政统一拨付。</w:t>
      </w:r>
      <w:bookmarkEnd w:id="17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资金支付的时间：收到财政拨付款后，供应商发票10个工作日内；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27"/>
        <w:jc w:val="center"/>
        <w:shd w:val="clear" w:color="auto"/>
        <w:rPr>
          <w:rFonts w:hint="eastAsia" w:ascii="宋体" w:hAnsi="宋体" w:eastAsia="宋体" w:cs="宋体"/>
          <w:b/>
          <w:bCs w:val="0"/>
          <w:color w:val="auto"/>
          <w:sz w:val="44"/>
          <w:highlight w:val="none"/>
          <w:lang w:eastAsia="zh-CN"/>
        </w:rPr>
      </w:pPr>
      <w:r/>
      <w:bookmarkStart w:id="180" w:name="_Toc8406"/>
      <w:r>
        <w:rPr>
          <w:rFonts w:hint="eastAsia" w:ascii="宋体" w:hAnsi="宋体" w:eastAsia="宋体" w:cs="宋体"/>
          <w:b/>
          <w:bCs w:val="0"/>
          <w:color w:val="auto"/>
          <w:sz w:val="44"/>
          <w:highlight w:val="none"/>
        </w:rPr>
        <w:t xml:space="preserve">第三章  合同文本</w:t>
      </w:r>
      <w:bookmarkEnd w:id="18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81" w:name="_Hlt16619369"/>
      <w:r/>
      <w:bookmarkEnd w:id="181"/>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2026年宿豫区冬小麦促弱转壮行动项目</w:t>
      </w:r>
      <w:r/>
    </w:p>
    <w:p>
      <w:pPr>
        <w:jc w:val="center"/>
        <w:keepLines w:val="0"/>
        <w:keepNext w:val="0"/>
        <w:pageBreakBefore w:val="0"/>
        <w:spacing w:line="360" w:lineRule="auto"/>
        <w:widowControl w:val="off"/>
        <w:rPr>
          <w:rFonts w:hint="default" w:ascii="宋体" w:hAnsi="宋体" w:eastAsia="宋体" w:cs="宋体"/>
          <w:color w:val="auto"/>
          <w:sz w:val="30"/>
          <w:szCs w:val="30"/>
          <w:highlight w:val="none"/>
          <w:lang w:val="en-US" w:eastAsia="zh-CN"/>
        </w:rPr>
      </w:pPr>
      <w:r>
        <w:rPr>
          <w:rFonts w:hint="eastAsia" w:ascii="宋体" w:hAnsi="宋体" w:eastAsia="宋体" w:cs="宋体"/>
          <w:b/>
          <w:bCs/>
          <w:color w:val="auto"/>
          <w:sz w:val="36"/>
          <w:szCs w:val="36"/>
          <w:highlight w:val="none"/>
          <w:lang w:val="en-US" w:eastAsia="zh-CN"/>
        </w:rPr>
        <w:t xml:space="preserve">政府采购合同</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2026年宿豫区冬小麦促弱转壮行动项目</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JSZC-321311-SXSD-G2026-0012</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甲方：（买方）</w:t>
      </w:r>
      <w:r>
        <w:rPr>
          <w:rFonts w:hint="eastAsia" w:ascii="宋体" w:hAnsi="宋体" w:eastAsia="宋体" w:cs="宋体"/>
          <w:color w:val="auto"/>
          <w:sz w:val="30"/>
          <w:szCs w:val="30"/>
          <w:highlight w:val="none"/>
          <w:lang w:eastAsia="zh-CN"/>
        </w:rPr>
        <w:t xml:space="preserve">宿迁市宿豫区农业技术综合服务中心</w:t>
      </w:r>
      <w:r/>
    </w:p>
    <w:p>
      <w:pPr>
        <w:ind w:left="0"/>
        <w:jc w:val="left"/>
        <w:keepLines w:val="0"/>
        <w:keepNext w:val="0"/>
        <w:pageBreakBefore w:val="0"/>
        <w:spacing w:line="48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乙方：（卖方）</w:t>
      </w:r>
      <w:r/>
    </w:p>
    <w:p>
      <w:pPr>
        <w:ind w:left="0" w:firstLine="60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甲、乙双方根据</w:t>
      </w:r>
      <w:r>
        <w:rPr>
          <w:rFonts w:hint="eastAsia" w:ascii="宋体" w:hAnsi="宋体" w:eastAsia="宋体" w:cs="宋体"/>
          <w:color w:val="auto"/>
          <w:sz w:val="30"/>
          <w:szCs w:val="30"/>
          <w:highlight w:val="none"/>
          <w:lang w:eastAsia="zh-CN"/>
        </w:rPr>
        <w:t xml:space="preserve">2026年宿豫区冬小麦促弱转壮行动项目</w:t>
      </w: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JSZC-321311-SXSD-G2026-0012</w:t>
      </w:r>
      <w:r>
        <w:rPr>
          <w:rFonts w:hint="eastAsia" w:ascii="宋体" w:hAnsi="宋体" w:eastAsia="宋体" w:cs="宋体"/>
          <w:color w:val="auto"/>
          <w:sz w:val="30"/>
          <w:szCs w:val="30"/>
          <w:highlight w:val="none"/>
        </w:rPr>
        <w:t xml:space="preserve">）公开招标的结果，签署本合同。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1.1 标的名称：</w:t>
      </w:r>
      <w:r>
        <w:rPr>
          <w:rFonts w:hint="eastAsia" w:ascii="宋体" w:hAnsi="宋体" w:eastAsia="宋体" w:cs="宋体"/>
          <w:b w:val="0"/>
          <w:bCs w:val="0"/>
          <w:color w:val="auto"/>
          <w:sz w:val="24"/>
          <w:szCs w:val="24"/>
          <w:highlight w:val="none"/>
          <w:lang w:eastAsia="zh-CN"/>
        </w:rPr>
        <w:t xml:space="preserve">2026年宿豫区冬小麦促弱转壮行动项目</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bookmarkStart w:id="182" w:name="_Toc30589"/>
      <w:r>
        <w:rPr>
          <w:rFonts w:hint="eastAsia" w:ascii="宋体" w:hAnsi="宋体" w:eastAsia="宋体" w:cs="宋体"/>
          <w:b w:val="0"/>
          <w:bCs w:val="0"/>
          <w:color w:val="auto"/>
          <w:sz w:val="24"/>
          <w:szCs w:val="24"/>
          <w:highlight w:val="none"/>
        </w:rPr>
        <w:t xml:space="preserve">1.2 标的质量：</w:t>
      </w:r>
      <w:r>
        <w:rPr>
          <w:rFonts w:hint="eastAsia" w:ascii="宋体" w:hAnsi="宋体" w:eastAsia="宋体" w:cs="宋体"/>
          <w:b w:val="0"/>
          <w:bCs w:val="0"/>
          <w:color w:val="auto"/>
          <w:sz w:val="24"/>
          <w:szCs w:val="24"/>
          <w:highlight w:val="none"/>
          <w:lang w:val="en-US" w:eastAsia="zh-CN"/>
        </w:rPr>
        <w:t xml:space="preserve">合格，</w:t>
      </w:r>
      <w:r>
        <w:rPr>
          <w:rFonts w:hint="eastAsia" w:ascii="宋体" w:hAnsi="宋体" w:eastAsia="宋体" w:cs="宋体"/>
          <w:b w:val="0"/>
          <w:bCs w:val="0"/>
          <w:color w:val="auto"/>
          <w:sz w:val="24"/>
          <w:szCs w:val="24"/>
          <w:highlight w:val="none"/>
        </w:rPr>
        <w:t xml:space="preserve">符合国家、行业质量要求。</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1.3 标的数量（规模）：</w:t>
      </w:r>
      <w:r>
        <w:rPr>
          <w:rFonts w:hint="eastAsia" w:ascii="宋体" w:hAnsi="宋体" w:eastAsia="宋体" w:cs="宋体"/>
          <w:b w:val="0"/>
          <w:bCs w:val="0"/>
          <w:color w:val="auto"/>
          <w:sz w:val="24"/>
          <w:szCs w:val="24"/>
          <w:highlight w:val="none"/>
          <w:lang w:val="en-US" w:eastAsia="zh-CN"/>
        </w:rPr>
        <w:t xml:space="preserve">1项</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1.4 履行时间（期限）：</w:t>
      </w:r>
      <w:r>
        <w:rPr>
          <w:rFonts w:hint="eastAsia" w:ascii="宋体" w:hAnsi="宋体" w:eastAsia="宋体" w:cs="宋体"/>
          <w:b w:val="0"/>
          <w:bCs w:val="0"/>
          <w:color w:val="auto"/>
          <w:sz w:val="24"/>
          <w:szCs w:val="24"/>
          <w:highlight w:val="none"/>
          <w:lang w:eastAsia="zh-CN"/>
        </w:rPr>
        <w:t xml:space="preserve">合同签订后按采购单位要求3日内完成供货</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售后服务期（质保期）：</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年</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甲方指定地点</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快递包装政府采购需求标准（试行）》的规定。</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 本合同金额为（大写）：___________（</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_________）人民币。</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3.1乙方应按招标文件规定的时间向甲方提供使用货物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包含与货物相关的服务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的有关技术资料。</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乙方保证所交付的货物（包含与货物相关的服务）的所有权完全属于乙方且无任何抵押、查封等产权瑕疵。</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本项目无履约保证金。</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7.1乙方不得将合同标的转包给他人履行。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7.2乙方不得将合同标的分包给他人履行。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7.3乙方如有转包或未经甲方同意的分包行为，甲方有权给予终止合同。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八、合同款项支付</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.1合同款项的支付方式及进度安排</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预付款：合同金额的30%，合同签订后按规定支付； </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进度款：验收合格后，支付至合同总价款的100%（无息），由财政统一拨付。</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资金支付的时间：收到财政拨付款后，供应商发票10个工作日内；</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资金支付的条件：满足相应阶段的要求且收到供应商发票；</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九、税费</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9.1本合同执行中相关的一切税费均由乙方负担。</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十、售后服务</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10.1</w:t>
      </w:r>
      <w:r>
        <w:rPr>
          <w:rFonts w:hint="eastAsia" w:ascii="宋体" w:hAnsi="宋体" w:eastAsia="宋体" w:cs="宋体"/>
          <w:b w:val="0"/>
          <w:bCs w:val="0"/>
          <w:color w:val="auto"/>
          <w:sz w:val="24"/>
          <w:szCs w:val="24"/>
          <w:highlight w:val="none"/>
        </w:rPr>
        <w:t xml:space="preserve">验收通过</w:t>
      </w:r>
      <w:r>
        <w:rPr>
          <w:rFonts w:hint="eastAsia" w:ascii="宋体" w:hAnsi="宋体" w:eastAsia="宋体" w:cs="宋体"/>
          <w:b w:val="0"/>
          <w:bCs w:val="0"/>
          <w:color w:val="auto"/>
          <w:sz w:val="24"/>
          <w:szCs w:val="24"/>
          <w:highlight w:val="none"/>
          <w:lang w:eastAsia="zh-CN"/>
        </w:rPr>
        <w:t xml:space="preserve">之日起</w:t>
      </w:r>
      <w:r>
        <w:rPr>
          <w:rFonts w:hint="eastAsia" w:ascii="宋体" w:hAnsi="宋体" w:eastAsia="宋体" w:cs="宋体"/>
          <w:b w:val="0"/>
          <w:bCs w:val="0"/>
          <w:color w:val="auto"/>
          <w:sz w:val="24"/>
          <w:szCs w:val="24"/>
          <w:highlight w:val="none"/>
        </w:rPr>
        <w:t xml:space="preserve">货物</w:t>
      </w:r>
      <w:r>
        <w:rPr>
          <w:rFonts w:hint="eastAsia" w:ascii="宋体" w:hAnsi="宋体" w:eastAsia="宋体" w:cs="宋体"/>
          <w:b w:val="0"/>
          <w:bCs w:val="0"/>
          <w:color w:val="auto"/>
          <w:sz w:val="24"/>
          <w:szCs w:val="24"/>
          <w:highlight w:val="none"/>
          <w:lang w:val="en-US" w:eastAsia="zh-CN"/>
        </w:rPr>
        <w:t xml:space="preserve">售后服务期1</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val="en-US" w:eastAsia="zh-CN"/>
        </w:rPr>
        <w:t xml:space="preserve">售后服务期内</w:t>
      </w:r>
      <w:r>
        <w:rPr>
          <w:rFonts w:hint="eastAsia" w:ascii="宋体" w:hAnsi="宋体" w:eastAsia="宋体" w:cs="宋体"/>
          <w:b w:val="0"/>
          <w:bCs w:val="0"/>
          <w:color w:val="auto"/>
          <w:sz w:val="24"/>
          <w:szCs w:val="24"/>
          <w:highlight w:val="none"/>
        </w:rPr>
        <w:t xml:space="preserve">，因质量而引起的问题，</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应在接到</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通知后0.5小时内响应，48小时内予以免费更换，由此引起的一切费用由</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承担。</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十一、项目验收</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甲方依法组织履约验收工作。</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甲方在组织履约验收前，明确履约验收的时间、方式、程序等内容，乙方应根据验收方案内容做好相应配合工作。</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对于实际使用人和甲方分离的项目，甲方邀请实际使用人参与验收。</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如有必要，甲方邀请参加本项目的其他供应商或第三方专业机构及专家参与验收，相关意见将作为验收书的参考资料。</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甲方成立验收小组，按照采购合同的约定对乙方的履约情况进行验收。验收时间、验收标准见招标文件验收内容。验收时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甲方按照采购合同的约定对每一项技术、商务要求的履约情况进行确认。验收结束后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验收小组出具验收书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列明各项标准的验收情况及项目总体评价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由验收双方共同签署。履约验收的各项资料存档备查。</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验收合格的项目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甲方根据采购合同的约定及时向乙方支付合同款项。验收不合格的项目，甲方依法及时处理。采购合同的履行、违约责任和解决争议的方式等适用</w:t>
      </w:r>
      <w:r>
        <w:rPr>
          <w:rFonts w:hint="eastAsia" w:ascii="宋体" w:hAnsi="宋体" w:eastAsia="宋体" w:cs="宋体"/>
          <w:b w:val="0"/>
          <w:bCs w:val="0"/>
          <w:color w:val="auto"/>
          <w:sz w:val="24"/>
          <w:szCs w:val="24"/>
          <w:highlight w:val="none"/>
          <w:lang w:eastAsia="zh-CN"/>
        </w:rPr>
        <w:t xml:space="preserve">《中华人民共和国民法典》</w:t>
      </w:r>
      <w:r>
        <w:rPr>
          <w:rFonts w:hint="eastAsia" w:ascii="宋体" w:hAnsi="宋体" w:eastAsia="宋体" w:cs="宋体"/>
          <w:b w:val="0"/>
          <w:bCs w:val="0"/>
          <w:color w:val="auto"/>
          <w:sz w:val="24"/>
          <w:szCs w:val="24"/>
          <w:highlight w:val="none"/>
        </w:rPr>
        <w:t xml:space="preserve">。乙方在履约过程中有政府采购法律法规规定的违法违规情形的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甲方将及时报告本级财政部门。</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十二、货物的包装、发运及运输</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快递包装政府采购需求标准（试行）》的规定。</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使用说明书、质量检验证明书、随配附件和工具以及清单一并附于货物内。</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12.3 乙方在货物发运手续办理完毕后24小时内或货到甲方48小时前通知甲方，以准备接货。</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12.4 货物在交付甲方前发生的风险均由乙方负责。</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12.5 货物在规定的交付期限内由乙方送达甲方指定的地点视为交付，乙方同时需通知甲方货物已送达。</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甲方无正当理由拒收货物的，甲方向乙方偿付拒收货款总值</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的违约金。</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甲方无故逾期验收和办理货款支付手续的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甲方应按逾期付款总额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每日向乙方支付违约金。</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 甲方</w:t>
      </w:r>
      <w:r>
        <w:rPr>
          <w:rFonts w:hint="eastAsia" w:ascii="宋体" w:hAnsi="宋体" w:eastAsia="宋体" w:cs="宋体"/>
          <w:b w:val="0"/>
          <w:bCs w:val="0"/>
          <w:color w:val="auto"/>
          <w:sz w:val="24"/>
          <w:szCs w:val="24"/>
          <w:highlight w:val="none"/>
          <w:lang w:val="en-US" w:eastAsia="zh-CN"/>
        </w:rPr>
        <w:t xml:space="preserve">随机抽取部分样品进行送检，样品需符合采购技术参数要求，检测相关费用由乙方承担。抽检产品质量经相关部门检验不合格的，乙方应无条件在</w:t>
      </w: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lang w:val="en-US" w:eastAsia="zh-CN"/>
        </w:rPr>
        <w:t xml:space="preserve">限定时间内予以更换符合要求的产品，并承担甲方因此产生的一切损失，同时报送相关行政处罚部门</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因货物不合格，</w:t>
      </w:r>
      <w:r>
        <w:rPr>
          <w:rFonts w:hint="eastAsia" w:ascii="宋体" w:hAnsi="宋体" w:eastAsia="宋体" w:cs="宋体"/>
          <w:b w:val="0"/>
          <w:bCs w:val="0"/>
          <w:color w:val="auto"/>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十四、</w:t>
      </w:r>
      <w:r>
        <w:rPr>
          <w:rFonts w:hint="eastAsia" w:ascii="宋体" w:hAnsi="宋体" w:eastAsia="宋体" w:cs="宋体"/>
          <w:b/>
          <w:bCs/>
          <w:color w:val="auto"/>
          <w:sz w:val="24"/>
          <w:szCs w:val="24"/>
          <w:highlight w:val="none"/>
          <w:lang w:val="en-US" w:eastAsia="zh-CN"/>
        </w:rPr>
        <w:t xml:space="preserve">供应商合法权益补偿机制</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供应商合法权益补偿救济机制。在履约过程中因政策变化、规划调整而无法履行合同约定，造成企业合法权益受损的，采购人依据实际情况对供应商进行补偿救济。</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、不可抗力事件处理</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 在合同有效期内，任何一方因不可抗力事件导致不能履行合同，则合同履行期可延长，其延长期与不可抗力影响期相同。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 不可抗力事件发生后，应立即通知对方，并寄送有关权威机构出具的证明。</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 不可抗力事件延续120天以上，双方应通过友好协商，确定是否继续履行合同。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、解决争议的方法</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.1甲乙双方因合同签订、履行而发生的一切争议，应通过友好协商解决。如协商不成由甲方住所地人民法院管辖。</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、合同生效及其它</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 合同经双方法定代表人或授权委托代表人签字并加盖单位公章后生效。</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val="0"/>
          <w:bCs w:val="0"/>
          <w:color w:val="auto"/>
          <w:sz w:val="24"/>
          <w:szCs w:val="24"/>
          <w:highlight w:val="none"/>
        </w:rPr>
        <w:t xml:space="preserve">.2 本合同未尽事宜，遵照中华人民共和国现行法律法规有关条文执行。</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.3 本合同正本一式</w:t>
      </w: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份，具有同等法律效力，甲方</w:t>
      </w:r>
      <w:r>
        <w:rPr>
          <w:rFonts w:hint="eastAsia" w:ascii="宋体" w:hAnsi="宋体" w:eastAsia="宋体" w:cs="宋体"/>
          <w:b w:val="0"/>
          <w:bCs w:val="0"/>
          <w:color w:val="auto"/>
          <w:sz w:val="24"/>
          <w:szCs w:val="24"/>
          <w:highlight w:val="none"/>
          <w:lang w:val="en-US" w:eastAsia="zh-CN"/>
        </w:rPr>
        <w:t xml:space="preserve">四份</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份。  </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                        乙方： </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地址：                        地址： </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法定代表人或授权代表：        法定代表人或授权代表：</w:t>
      </w:r>
      <w:r/>
    </w:p>
    <w:p>
      <w:pPr>
        <w:pStyle w:val="729"/>
        <w:ind w:firstLine="480"/>
        <w:keepLines w:val="0"/>
        <w:keepNext w:val="0"/>
        <w:pageBreakBefore w:val="0"/>
        <w:spacing w:before="0" w:after="0" w:line="360" w:lineRule="exact"/>
        <w:shd w:val="clear" w:color="auto"/>
        <w:widowControl w:val="off"/>
        <w:rPr>
          <w:rFonts w:hint="eastAsia" w:ascii="宋体" w:hAnsi="宋体" w:eastAsia="宋体" w:cs="宋体"/>
          <w:caps w:val="0"/>
          <w:color w:val="auto"/>
          <w:sz w:val="24"/>
          <w:szCs w:val="24"/>
          <w:highlight w:val="none"/>
        </w:rPr>
      </w:pPr>
      <w:r>
        <w:rPr>
          <w:rFonts w:hint="eastAsia" w:ascii="宋体" w:hAnsi="宋体" w:eastAsia="宋体" w:cs="宋体"/>
          <w:b w:val="0"/>
          <w:bCs w:val="0"/>
          <w:color w:val="auto"/>
          <w:sz w:val="24"/>
          <w:szCs w:val="24"/>
          <w:highlight w:val="none"/>
        </w:rPr>
        <w:t xml:space="preserve">联系电话：                    联系电话：</w:t>
      </w:r>
      <w:r>
        <w:rPr>
          <w:rFonts w:hint="eastAsia" w:ascii="宋体" w:hAnsi="宋体" w:eastAsia="宋体" w:cs="宋体"/>
          <w:caps w:val="0"/>
          <w:color w:val="auto"/>
          <w:sz w:val="24"/>
          <w:szCs w:val="24"/>
          <w:highlight w:val="none"/>
        </w:rPr>
        <w:t xml:space="preserve">              </w:t>
      </w:r>
      <w:r/>
    </w:p>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签订日期：      年    月   日 </w:t>
      </w:r>
      <w:bookmarkEnd w:id="182"/>
      <w:r/>
      <w:r/>
    </w:p>
    <w:p>
      <w:pPr>
        <w:pStyle w:val="727"/>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8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27"/>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本项目采购标的对应的中小企业划分标准所属行业：工业（制造业）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一、项目情况</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2026年宿豫区冬小麦促弱转壮行动项目，预算金额及最高限价217万元。本项目设定最高限单价，最高限单价为2.3元/kg，超过最高限单价作无效标处理。总价固定为217万元，投标人不得调整。</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二、付款方式</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预付款：合同金额的30%，合同签订后按规定支付； </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进度款：验收合格后，支付至合同总价款的100%（无息），由财政统一拨付。</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资金支付的</w:t>
      </w:r>
      <w:r>
        <w:rPr>
          <w:rFonts w:hint="eastAsia" w:ascii="宋体" w:hAnsi="宋体" w:eastAsia="宋体" w:cs="宋体"/>
          <w:b w:val="0"/>
          <w:bCs w:val="0"/>
          <w:color w:val="auto"/>
          <w:sz w:val="24"/>
          <w:szCs w:val="24"/>
          <w:highlight w:val="none"/>
          <w:lang w:val="en-US" w:eastAsia="zh-CN" w:bidi="ar-SA"/>
        </w:rPr>
        <w:t xml:space="preserve">时间</w:t>
      </w:r>
      <w:r>
        <w:rPr>
          <w:rFonts w:hint="eastAsia" w:ascii="宋体" w:hAnsi="宋体" w:eastAsia="宋体" w:cs="宋体"/>
          <w:b w:val="0"/>
          <w:bCs w:val="0"/>
          <w:color w:val="auto"/>
          <w:sz w:val="24"/>
          <w:szCs w:val="24"/>
          <w:highlight w:val="none"/>
          <w:lang w:val="zh-CN"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收到财政拨付款后，供应商发票10个工作日内</w:t>
      </w:r>
      <w:r>
        <w:rPr>
          <w:rFonts w:hint="eastAsia" w:ascii="宋体" w:hAnsi="宋体" w:eastAsia="宋体" w:cs="宋体"/>
          <w:b w:val="0"/>
          <w:bCs w:val="0"/>
          <w:color w:val="auto"/>
          <w:sz w:val="24"/>
          <w:szCs w:val="24"/>
          <w:highlight w:val="none"/>
          <w:lang w:val="zh-CN" w:eastAsia="zh-CN" w:bidi="ar-SA"/>
        </w:rPr>
        <w:t xml:space="preserve">；</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资金支付</w:t>
      </w:r>
      <w:r>
        <w:rPr>
          <w:rFonts w:hint="eastAsia" w:ascii="宋体" w:hAnsi="宋体" w:eastAsia="宋体" w:cs="宋体"/>
          <w:b w:val="0"/>
          <w:bCs w:val="0"/>
          <w:color w:val="auto"/>
          <w:sz w:val="24"/>
          <w:szCs w:val="24"/>
          <w:highlight w:val="none"/>
          <w:lang w:val="en-US" w:eastAsia="zh-CN" w:bidi="ar-SA"/>
        </w:rPr>
        <w:t xml:space="preserve">的条件：满足相应阶段的要求且收到供应商发票；</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三、供货期、实施地点及售后服务期（质保期）</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1.供货期：合同签订后按采购单位要求3日内完成供货</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2.实施地点：采购人指定地点</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3.售后服务期（质保期）：2年</w:t>
      </w:r>
      <w:r/>
    </w:p>
    <w:p>
      <w:pPr>
        <w:numPr>
          <w:ilvl w:val="0"/>
          <w:numId w:val="0"/>
        </w:numPr>
        <w:ind w:firstLine="482"/>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四、采购清单及技术参数</w:t>
      </w:r>
      <w:r/>
    </w:p>
    <w:tbl>
      <w:tblPr>
        <w:tblStyle w:val="757"/>
        <w:tblW w:w="11460" w:type="dxa"/>
        <w:tblInd w:w="-10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215"/>
        <w:gridCol w:w="3855"/>
        <w:gridCol w:w="1605"/>
        <w:gridCol w:w="1200"/>
        <w:gridCol w:w="2850"/>
      </w:tblGrid>
      <w:tr>
        <w:trPr>
          <w:trHeight w:val="440"/>
        </w:trPr>
        <w:tc>
          <w:tcPr>
            <w:tcW w:w="735"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1215"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b w:val="0"/>
                <w:bCs w:val="0"/>
                <w:color w:val="auto"/>
                <w:sz w:val="24"/>
                <w:szCs w:val="24"/>
                <w:highlight w:val="none"/>
                <w:lang w:val="en-US" w:eastAsia="zh-CN" w:bidi="ar-SA"/>
              </w:rPr>
            </w:pPr>
            <w:r>
              <w:rPr>
                <w:rFonts w:hint="eastAsia" w:ascii="Times New Roman" w:hAnsi="Times New Roman"/>
                <w:color w:val="000000"/>
                <w:sz w:val="24"/>
                <w:szCs w:val="24"/>
                <w:highlight w:val="none"/>
              </w:rPr>
              <w:t xml:space="preserve">产品名称</w:t>
            </w:r>
            <w:r/>
          </w:p>
        </w:tc>
        <w:tc>
          <w:tcPr>
            <w:tcW w:w="3855" w:type="dxa"/>
            <w:vAlign w:val="center"/>
            <w:textDirection w:val="lrTb"/>
            <w:noWrap w:val="false"/>
          </w:tcPr>
          <w:p>
            <w:pPr>
              <w:ind w:left="0" w:firstLine="0"/>
              <w:jc w:val="center"/>
              <w:keepLines w:val="0"/>
              <w:keepNext w:val="0"/>
              <w:pageBreakBefore w:val="0"/>
              <w:spacing w:after="0" w:line="400" w:lineRule="exact"/>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参数及规格</w:t>
            </w:r>
            <w:r/>
          </w:p>
        </w:tc>
        <w:tc>
          <w:tcPr>
            <w:tcW w:w="160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最高限单价</w:t>
            </w:r>
            <w:r/>
          </w:p>
        </w:tc>
        <w:tc>
          <w:tcPr>
            <w:tcW w:w="12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总价</w:t>
            </w:r>
            <w:r/>
          </w:p>
        </w:tc>
        <w:tc>
          <w:tcPr>
            <w:tcW w:w="28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w:t>
            </w:r>
            <w:r/>
          </w:p>
        </w:tc>
      </w:tr>
      <w:tr>
        <w:trPr>
          <w:trHeight w:val="165"/>
        </w:trPr>
        <w:tc>
          <w:tcPr>
            <w:tcW w:w="735" w:type="dxa"/>
            <w:vAlign w:val="center"/>
            <w:textDirection w:val="lrTb"/>
            <w:noWrap w:val="false"/>
          </w:tcPr>
          <w:p>
            <w:pPr>
              <w:ind w:left="0" w:firstLine="0"/>
              <w:jc w:val="center"/>
              <w:keepLines w:val="0"/>
              <w:keepNext w:val="0"/>
              <w:pageBreakBefore w:val="0"/>
              <w:spacing w:after="0" w:line="400" w:lineRule="exact"/>
              <w:widowControl w:val="off"/>
              <w:rPr>
                <w:rFonts w:hint="eastAsia" w:ascii="宋体" w:hAnsi="宋体" w:eastAsia="宋体" w:cs="宋体"/>
                <w:b w:val="0"/>
                <w:bCs w:val="0"/>
                <w:color w:val="auto"/>
                <w:sz w:val="24"/>
                <w:szCs w:val="24"/>
                <w:highlight w:val="none"/>
                <w:lang w:val="en-US" w:eastAsia="zh-CN" w:bidi="ar-SA"/>
              </w:rPr>
            </w:pPr>
            <w:r/>
            <w:bookmarkStart w:id="207" w:name="_GoBack"/>
            <w:r>
              <w:rPr>
                <w:rFonts w:hint="eastAsia" w:ascii="宋体" w:hAnsi="宋体" w:eastAsia="宋体" w:cs="宋体"/>
                <w:b w:val="0"/>
                <w:bCs w:val="0"/>
                <w:color w:val="auto"/>
                <w:sz w:val="24"/>
                <w:szCs w:val="24"/>
                <w:highlight w:val="none"/>
                <w:lang w:val="en-US" w:eastAsia="zh-CN" w:bidi="ar-SA"/>
              </w:rPr>
              <w:t xml:space="preserve">1</w:t>
            </w:r>
            <w:r/>
          </w:p>
        </w:tc>
        <w:tc>
          <w:tcPr>
            <w:tcW w:w="1215" w:type="dxa"/>
            <w:vAlign w:val="center"/>
            <w:textDirection w:val="lrTb"/>
            <w:noWrap w:val="false"/>
          </w:tcPr>
          <w:p>
            <w:pPr>
              <w:ind w:left="0" w:firstLine="240"/>
              <w:jc w:val="both"/>
              <w:keepLines w:val="0"/>
              <w:keepNext w:val="0"/>
              <w:pageBreakBefore w:val="0"/>
              <w:spacing w:after="0" w:line="400" w:lineRule="exact"/>
              <w:widowControl w:val="off"/>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 xml:space="preserve">尿素</w:t>
            </w:r>
            <w:r/>
          </w:p>
        </w:tc>
        <w:tc>
          <w:tcPr>
            <w:tcW w:w="3855" w:type="dxa"/>
            <w:vAlign w:val="center"/>
            <w:textDirection w:val="lrTb"/>
            <w:noWrap w:val="false"/>
          </w:tcPr>
          <w:p>
            <w:pPr>
              <w:ind w:left="0" w:firstLine="0"/>
              <w:jc w:val="both"/>
              <w:keepLines w:val="0"/>
              <w:keepNext w:val="0"/>
              <w:pageBreakBefore w:val="0"/>
              <w:spacing w:after="0"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①总氮（N）≥46%；</w:t>
            </w:r>
            <w:r/>
          </w:p>
          <w:p>
            <w:pPr>
              <w:ind w:left="0" w:firstLine="0"/>
              <w:jc w:val="both"/>
              <w:keepLines w:val="0"/>
              <w:keepNext w:val="0"/>
              <w:pageBreakBefore w:val="0"/>
              <w:spacing w:after="0"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②</w:t>
            </w:r>
            <w:r>
              <w:rPr>
                <w:rFonts w:ascii="宋体" w:hAnsi="宋体" w:eastAsia="宋体" w:cs="宋体"/>
                <w:color w:val="auto"/>
                <w:sz w:val="24"/>
                <w:szCs w:val="24"/>
              </w:rPr>
              <w:t xml:space="preserve">缩二脲≤</w:t>
            </w:r>
            <w:r>
              <w:rPr>
                <w:rFonts w:hint="eastAsia" w:ascii="宋体" w:hAnsi="宋体" w:eastAsia="宋体" w:cs="宋体"/>
                <w:color w:val="auto"/>
                <w:sz w:val="24"/>
                <w:szCs w:val="24"/>
                <w:lang w:val="en-US" w:eastAsia="zh-CN"/>
              </w:rPr>
              <w:t xml:space="preserve">0.9</w:t>
            </w:r>
            <w:r>
              <w:rPr>
                <w:rFonts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p>
          <w:p>
            <w:pPr>
              <w:ind w:left="0" w:firstLine="0"/>
              <w:jc w:val="both"/>
              <w:keepLines w:val="0"/>
              <w:keepNext w:val="0"/>
              <w:pageBreakBefore w:val="0"/>
              <w:spacing w:after="0"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③</w:t>
            </w:r>
            <w:r>
              <w:rPr>
                <w:rFonts w:ascii="宋体" w:hAnsi="宋体" w:eastAsia="宋体" w:cs="宋体"/>
                <w:color w:val="auto"/>
                <w:sz w:val="24"/>
                <w:szCs w:val="24"/>
              </w:rPr>
              <w:t xml:space="preserve">水分≤</w:t>
            </w:r>
            <w:r>
              <w:rPr>
                <w:rFonts w:hint="eastAsia" w:ascii="宋体" w:hAnsi="宋体" w:eastAsia="宋体" w:cs="宋体"/>
                <w:color w:val="auto"/>
                <w:sz w:val="24"/>
                <w:szCs w:val="24"/>
                <w:lang w:val="en-US" w:eastAsia="zh-CN"/>
              </w:rPr>
              <w:t xml:space="preserve">0.5</w:t>
            </w:r>
            <w:r>
              <w:rPr>
                <w:rFonts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p>
          <w:p>
            <w:pPr>
              <w:ind w:left="0" w:firstLine="0"/>
              <w:jc w:val="both"/>
              <w:keepLines w:val="0"/>
              <w:keepNext w:val="0"/>
              <w:pageBreakBefore w:val="0"/>
              <w:spacing w:after="0"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④</w:t>
            </w:r>
            <w:r>
              <w:rPr>
                <w:rFonts w:ascii="宋体" w:hAnsi="宋体" w:eastAsia="宋体" w:cs="宋体"/>
                <w:color w:val="auto"/>
                <w:sz w:val="24"/>
                <w:szCs w:val="24"/>
              </w:rPr>
              <w:t xml:space="preserve">粒度 </w:t>
            </w:r>
            <w:r>
              <w:rPr>
                <w:rFonts w:hint="eastAsia" w:ascii="宋体" w:hAnsi="宋体" w:eastAsia="宋体" w:cs="宋体"/>
                <w:color w:val="auto"/>
                <w:sz w:val="24"/>
                <w:szCs w:val="24"/>
              </w:rPr>
              <w:t xml:space="preserve">d </w:t>
            </w:r>
            <w:r>
              <w:rPr>
                <w:rFonts w:hint="eastAsia" w:ascii="宋体" w:hAnsi="宋体" w:eastAsia="宋体" w:cs="宋体"/>
                <w:color w:val="auto"/>
                <w:sz w:val="24"/>
                <w:szCs w:val="24"/>
              </w:rPr>
              <w:t xml:space="preserve">1.18</w:t>
            </w:r>
            <w:r>
              <w:rPr>
                <w:rFonts w:hint="eastAsia" w:ascii="宋体" w:hAnsi="宋体" w:eastAsia="宋体" w:cs="宋体"/>
                <w:color w:val="auto"/>
                <w:sz w:val="24"/>
                <w:szCs w:val="24"/>
              </w:rPr>
              <w:t xml:space="preserve">mm</w:t>
            </w:r>
            <w:r/>
            <w:r>
              <w:rPr>
                <w:rFonts w:hint="eastAsia" w:ascii="宋体" w:hAnsi="宋体" w:eastAsia="宋体" w:cs="宋体"/>
                <w:color w:val="auto"/>
                <w:sz w:val="24"/>
                <w:szCs w:val="24"/>
              </w:rPr>
              <w:t xml:space="preserve">～3.35mm≥93%</w:t>
            </w:r>
            <w:r>
              <w:rPr>
                <w:rFonts w:hint="eastAsia" w:ascii="宋体" w:hAnsi="宋体" w:eastAsia="宋体" w:cs="宋体"/>
                <w:color w:val="auto"/>
                <w:sz w:val="24"/>
                <w:szCs w:val="24"/>
                <w:lang w:eastAsia="zh-CN"/>
              </w:rPr>
              <w:t xml:space="preserve">；</w:t>
            </w:r>
            <w:r/>
          </w:p>
          <w:p>
            <w:pPr>
              <w:ind w:left="0" w:firstLine="0"/>
              <w:jc w:val="both"/>
              <w:keepLines w:val="0"/>
              <w:keepNext w:val="0"/>
              <w:pageBreakBefore w:val="0"/>
              <w:spacing w:after="0"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⑤</w:t>
            </w:r>
            <w:r>
              <w:rPr>
                <w:rFonts w:hint="eastAsia" w:ascii="宋体" w:hAnsi="宋体" w:eastAsia="宋体" w:cs="宋体"/>
                <w:color w:val="auto"/>
                <w:sz w:val="24"/>
                <w:szCs w:val="24"/>
                <w:lang w:val="en-US" w:eastAsia="zh-CN"/>
              </w:rPr>
              <w:t xml:space="preserve">50kg/袋</w:t>
            </w:r>
            <w:r/>
          </w:p>
        </w:tc>
        <w:tc>
          <w:tcPr>
            <w:tcW w:w="1605" w:type="dxa"/>
            <w:vAlign w:val="center"/>
            <w:textDirection w:val="lrTb"/>
            <w:noWrap w:val="false"/>
          </w:tcPr>
          <w:p>
            <w:pPr>
              <w:ind w:left="0" w:firstLine="0"/>
              <w:jc w:val="center"/>
              <w:keepLines w:val="0"/>
              <w:keepNext w:val="0"/>
              <w:pageBreakBefore w:val="0"/>
              <w:spacing w:after="0" w:line="4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2.3元/kg</w:t>
            </w:r>
            <w:r/>
          </w:p>
        </w:tc>
        <w:tc>
          <w:tcPr>
            <w:tcW w:w="1200" w:type="dxa"/>
            <w:vAlign w:val="center"/>
            <w:textDirection w:val="lrTb"/>
            <w:noWrap w:val="false"/>
          </w:tcPr>
          <w:p>
            <w:pPr>
              <w:ind w:left="0" w:firstLine="0"/>
              <w:jc w:val="center"/>
              <w:keepLines w:val="0"/>
              <w:keepNext w:val="0"/>
              <w:pageBreakBefore w:val="0"/>
              <w:spacing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217万元</w:t>
            </w:r>
            <w:r/>
          </w:p>
        </w:tc>
        <w:tc>
          <w:tcPr>
            <w:tcW w:w="2850" w:type="dxa"/>
            <w:vAlign w:val="center"/>
            <w:textDirection w:val="lrTb"/>
            <w:noWrap w:val="false"/>
          </w:tcPr>
          <w:p>
            <w:pPr>
              <w:ind w:left="0" w:firstLine="0"/>
              <w:jc w:val="left"/>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优等品</w:t>
            </w:r>
            <w:r/>
          </w:p>
          <w:p>
            <w:pPr>
              <w:ind w:left="0" w:firstLine="0"/>
              <w:jc w:val="left"/>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执行 </w:t>
            </w:r>
            <w:r>
              <w:rPr>
                <w:rFonts w:ascii="宋体" w:hAnsi="宋体" w:eastAsia="宋体" w:cs="宋体"/>
                <w:color w:val="auto"/>
                <w:sz w:val="24"/>
                <w:szCs w:val="24"/>
              </w:rPr>
              <w:t xml:space="preserve">GB/T2440-2017</w:t>
            </w:r>
            <w:r/>
          </w:p>
          <w:p>
            <w:pPr>
              <w:ind w:left="0" w:firstLine="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rPr>
            </w:pPr>
            <w:r>
              <w:rPr>
                <w:rFonts w:hint="eastAsia"/>
                <w:color w:val="auto"/>
                <w:sz w:val="24"/>
                <w:szCs w:val="24"/>
                <w:lang w:val="en-US" w:eastAsia="zh-CN"/>
              </w:rPr>
              <w:t xml:space="preserve">2.包装上必须按规定标注缩二脲警示语。</w:t>
            </w:r>
            <w:bookmarkEnd w:id="207"/>
            <w:r/>
            <w:r/>
          </w:p>
        </w:tc>
      </w:tr>
    </w:tbl>
    <w:p>
      <w:pPr>
        <w:numPr>
          <w:ilvl w:val="0"/>
          <w:numId w:val="1"/>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整体项目实施要求</w:t>
      </w:r>
      <w:r/>
    </w:p>
    <w:p>
      <w:pPr>
        <w:numPr>
          <w:ilvl w:val="0"/>
          <w:numId w:val="0"/>
        </w:num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货源组织保障</w:t>
      </w:r>
      <w:r>
        <w:rPr>
          <w:rFonts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投标人根据本项目需求提</w:t>
      </w:r>
      <w:r>
        <w:rPr>
          <w:rFonts w:hint="eastAsia" w:ascii="宋体" w:hAnsi="宋体" w:eastAsia="宋体" w:cs="宋体"/>
          <w:color w:val="auto"/>
          <w:sz w:val="24"/>
          <w:szCs w:val="24"/>
          <w:highlight w:val="none"/>
        </w:rPr>
        <w:t xml:space="preserve">供尿素货源来源，来源合法、稳定，能满足批量供应需求</w:t>
      </w:r>
      <w:r>
        <w:rPr>
          <w:rFonts w:hint="eastAsia" w:ascii="宋体" w:hAnsi="宋体" w:eastAsia="宋体" w:cs="宋体"/>
          <w:color w:val="auto"/>
          <w:sz w:val="24"/>
          <w:szCs w:val="24"/>
          <w:highlight w:val="none"/>
          <w:lang w:val="en-US" w:eastAsia="zh-CN"/>
        </w:rPr>
        <w:t xml:space="preserve">方案。</w:t>
      </w:r>
      <w:r/>
    </w:p>
    <w:p>
      <w:pPr>
        <w:numPr>
          <w:ilvl w:val="0"/>
          <w:numId w:val="0"/>
        </w:numPr>
        <w:ind w:firstLine="480"/>
        <w:keepLines w:val="0"/>
        <w:keepNext w:val="0"/>
        <w:pageBreakBefore w:val="0"/>
        <w:spacing w:line="400" w:lineRule="exact"/>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bidi="ar"/>
        </w:rPr>
        <w:t xml:space="preserve">质量追溯方案：</w:t>
      </w:r>
      <w:r>
        <w:rPr>
          <w:rFonts w:ascii="宋体" w:hAnsi="宋体" w:eastAsia="宋体" w:cs="宋体"/>
          <w:sz w:val="24"/>
          <w:szCs w:val="24"/>
        </w:rPr>
        <w:t xml:space="preserve">投标人根据本项目需求提</w:t>
      </w:r>
      <w:r>
        <w:rPr>
          <w:rFonts w:hint="eastAsia" w:ascii="宋体" w:hAnsi="宋体" w:eastAsia="宋体" w:cs="宋体"/>
          <w:color w:val="auto"/>
          <w:sz w:val="24"/>
          <w:szCs w:val="24"/>
          <w:highlight w:val="none"/>
        </w:rPr>
        <w:t xml:space="preserve">供</w:t>
      </w:r>
      <w:r>
        <w:rPr>
          <w:rFonts w:hint="default" w:ascii="宋体" w:hAnsi="宋体" w:eastAsia="宋体" w:cs="宋体"/>
          <w:color w:val="auto"/>
          <w:sz w:val="24"/>
          <w:szCs w:val="24"/>
          <w:highlight w:val="none"/>
          <w:lang w:val="en-US" w:eastAsia="zh-CN"/>
        </w:rPr>
        <w:t xml:space="preserve">完善的尿素质量追溯体系，明确追溯流程、追溯信息（含生产、仓储、运输各环节），可实现全程追溯</w:t>
      </w:r>
      <w:r>
        <w:rPr>
          <w:rFonts w:hint="eastAsia" w:ascii="宋体" w:hAnsi="宋体" w:eastAsia="宋体" w:cs="宋体"/>
          <w:color w:val="auto"/>
          <w:sz w:val="24"/>
          <w:szCs w:val="24"/>
          <w:highlight w:val="none"/>
          <w:lang w:val="en-US" w:eastAsia="zh-CN"/>
        </w:rPr>
        <w:t xml:space="preserve">方案。</w:t>
      </w:r>
      <w:r/>
    </w:p>
    <w:p>
      <w:pPr>
        <w:numPr>
          <w:ilvl w:val="0"/>
          <w:numId w:val="0"/>
        </w:num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outlineLvl w:val="0"/>
      </w:pPr>
      <w:r>
        <w:rPr>
          <w:rFonts w:hint="eastAsia" w:ascii="宋体" w:hAnsi="宋体" w:eastAsia="宋体" w:cs="宋体"/>
          <w:b w:val="0"/>
          <w:bCs w:val="0"/>
          <w:color w:val="auto"/>
          <w:sz w:val="24"/>
          <w:szCs w:val="24"/>
          <w:highlight w:val="none"/>
          <w:lang w:val="en-US" w:eastAsia="zh-CN" w:bidi="ar-SA"/>
        </w:rPr>
        <w:t xml:space="preserve">质量承诺与退换货服务方案：</w:t>
      </w:r>
      <w:r>
        <w:rPr>
          <w:rFonts w:ascii="宋体" w:hAnsi="宋体" w:eastAsia="宋体" w:cs="宋体"/>
          <w:sz w:val="24"/>
          <w:szCs w:val="24"/>
        </w:rPr>
        <w:t xml:space="preserve">投标人根据本项目需求提</w:t>
      </w:r>
      <w:r>
        <w:rPr>
          <w:rFonts w:hint="eastAsia" w:ascii="宋体" w:hAnsi="宋体" w:eastAsia="宋体" w:cs="宋体"/>
          <w:color w:val="auto"/>
          <w:sz w:val="24"/>
          <w:szCs w:val="24"/>
          <w:highlight w:val="none"/>
        </w:rPr>
        <w:t xml:space="preserve">供</w:t>
      </w:r>
      <w:r>
        <w:rPr>
          <w:rFonts w:hint="default" w:ascii="宋体" w:hAnsi="宋体" w:eastAsia="宋体" w:cs="宋体"/>
          <w:color w:val="auto"/>
          <w:sz w:val="24"/>
          <w:szCs w:val="24"/>
          <w:highlight w:val="none"/>
          <w:lang w:val="en-US" w:eastAsia="zh-CN"/>
        </w:rPr>
        <w:t xml:space="preserve">尿素质量承诺（符合国</w:t>
      </w:r>
      <w:r>
        <w:rPr>
          <w:rFonts w:hint="default" w:ascii="宋体" w:hAnsi="宋体" w:eastAsia="宋体" w:cs="宋体"/>
          <w:color w:val="auto"/>
          <w:sz w:val="24"/>
          <w:szCs w:val="24"/>
          <w:highlight w:val="none"/>
          <w:lang w:val="en-US" w:eastAsia="zh-CN" w:bidi="ar"/>
        </w:rPr>
        <w:t xml:space="preserve">家相关标准、项目要求），制定详细的退换货流程、退换货时限，明确退换货责任及费用承担</w:t>
      </w:r>
      <w:r>
        <w:rPr>
          <w:rFonts w:hint="eastAsia" w:ascii="宋体" w:hAnsi="宋体" w:eastAsia="宋体" w:cs="宋体"/>
          <w:color w:val="auto"/>
          <w:sz w:val="24"/>
          <w:szCs w:val="24"/>
          <w:highlight w:val="none"/>
          <w:lang w:val="en-US" w:eastAsia="zh-CN" w:bidi="ar"/>
        </w:rPr>
        <w:t xml:space="preserve">方案。</w:t>
      </w:r>
      <w:r/>
    </w:p>
    <w:p>
      <w:pPr>
        <w:numPr>
          <w:ilvl w:val="0"/>
          <w:numId w:val="0"/>
        </w:numPr>
        <w:ind w:firstLine="480"/>
        <w:keepLines w:val="0"/>
        <w:keepNext w:val="0"/>
        <w:pageBreakBefore w:val="0"/>
        <w:spacing w:line="400" w:lineRule="exact"/>
        <w:rPr>
          <w:rFonts w:hint="default" w:ascii="宋体" w:hAnsi="宋体" w:eastAsia="宋体" w:cs="宋体"/>
          <w:color w:val="auto"/>
          <w:sz w:val="24"/>
          <w:szCs w:val="24"/>
          <w:highlight w:val="none"/>
          <w:lang w:val="en-US" w:eastAsia="zh-CN"/>
        </w:rPr>
        <w:outlineLvl w:val="0"/>
      </w:pPr>
      <w:r>
        <w:rPr>
          <w:rFonts w:hint="default" w:ascii="宋体" w:hAnsi="宋体" w:eastAsia="宋体" w:cs="宋体"/>
          <w:color w:val="auto"/>
          <w:sz w:val="24"/>
          <w:szCs w:val="24"/>
          <w:highlight w:val="none"/>
          <w:lang w:val="en-US" w:eastAsia="zh-CN" w:bidi="ar"/>
        </w:rPr>
        <w:t xml:space="preserve">技术指导与使用咨询</w:t>
      </w:r>
      <w:r>
        <w:rPr>
          <w:rFonts w:hint="eastAsia" w:ascii="宋体" w:hAnsi="宋体" w:eastAsia="宋体" w:cs="宋体"/>
          <w:color w:val="auto"/>
          <w:sz w:val="24"/>
          <w:szCs w:val="24"/>
          <w:highlight w:val="none"/>
          <w:lang w:val="en-US" w:eastAsia="zh-CN" w:bidi="ar"/>
        </w:rPr>
        <w:t xml:space="preserve">方案：</w:t>
      </w:r>
      <w:r>
        <w:rPr>
          <w:rFonts w:ascii="宋体" w:hAnsi="宋体" w:eastAsia="宋体" w:cs="宋体"/>
          <w:sz w:val="24"/>
          <w:szCs w:val="24"/>
        </w:rPr>
        <w:t xml:space="preserve">投标人根据本项目需求提</w:t>
      </w:r>
      <w:r>
        <w:rPr>
          <w:rFonts w:hint="eastAsia" w:ascii="宋体" w:hAnsi="宋体" w:eastAsia="宋体" w:cs="宋体"/>
          <w:color w:val="auto"/>
          <w:sz w:val="24"/>
          <w:szCs w:val="24"/>
          <w:highlight w:val="none"/>
        </w:rPr>
        <w:t xml:space="preserve">供</w:t>
      </w:r>
      <w:r>
        <w:rPr>
          <w:rFonts w:hint="default" w:ascii="宋体" w:hAnsi="宋体" w:eastAsia="宋体" w:cs="宋体"/>
          <w:color w:val="auto"/>
          <w:sz w:val="24"/>
          <w:szCs w:val="24"/>
          <w:highlight w:val="none"/>
          <w:lang w:val="en-US" w:eastAsia="zh-CN"/>
        </w:rPr>
        <w:t xml:space="preserve">专业的尿素使用技术指导（如施肥方法、用量建议等），明确咨询渠道（电话、专人对接等），能及时解答使用疑问</w:t>
      </w:r>
      <w:r>
        <w:rPr>
          <w:rFonts w:hint="eastAsia" w:ascii="宋体" w:hAnsi="宋体" w:eastAsia="宋体" w:cs="宋体"/>
          <w:color w:val="auto"/>
          <w:sz w:val="24"/>
          <w:szCs w:val="24"/>
          <w:highlight w:val="none"/>
          <w:lang w:val="en-US" w:eastAsia="zh-CN"/>
        </w:rPr>
        <w:t xml:space="preserve">方案。</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六、质量标准</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1.投标文件及投标人所响应货物的质量、技术和其他要求货物制造标准、安装标准及技术规范等，须符合最新国家标准，无国家标准的应符合行业标准或企业标准， 并满足招标文件要求。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firstLine="480"/>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七、售后服务</w:t>
      </w:r>
      <w:r/>
    </w:p>
    <w:p>
      <w:pPr>
        <w:ind w:firstLine="480"/>
        <w:keepLines w:val="0"/>
        <w:keepNext w:val="0"/>
        <w:pageBreakBefore w:val="0"/>
        <w:spacing w:line="400" w:lineRule="exact"/>
        <w:rPr>
          <w:rFonts w:hint="default"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验收通过之日起对货物售后服务期1年。售后服务期内，因质量而引起的问题，供应商应在接到采购单位通知后0.5小时内响应，48小时内予以免费更换，由此引起的一切费用由供应商承担。</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八、验收标准及要求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1.乙方向甲方提交项目验收资料以及终验申请单，甲方收到申请后3 个工作日内组织终验且验收无问题后签署终验单。验收的标准按照招标文件、投标文件及相关标准实施，须服从采购人安排要求。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2.验收标准</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3.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九、商品包装环保要求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1.商品包装层数不得超过 3 层，空隙率不大于40%；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2.商品包装尽可能使用单一材质的包装材料，如因功能需求必须使用不同材质，不同材质间应便于分离；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3.商品包装中铅、汞、镉、六价铬的总含量应不大于100mg/kg；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4.商品包装印刷使用的油墨中挥发性有机化合物（VOCs） 含量应不大于 5%（以重量计）；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5.塑料材质商品包装上呈现的印刷颜色不得超过 6 色；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6.纸质商品包装应使用75%以上的可再生纤维原料生产；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7.木质商品包装的原料应来源于可持续性森林。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注：检测方法 1.商品包装中重金属（铅、汞、镉、六价铬）总量的检测按照 GB/T 10004-2008《包装用塑料复合膜、袋干法复合、 挤出复合》规定的方法进行。 </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2.商品包装印刷使用的油墨中挥发性有机化合物（VOCs） 的检测按照 GB/T 23986-2009《色漆和清漆 挥发性有机化合 物（VOC）含量的测定 气相色谱法》规定的方法。</w:t>
      </w:r>
      <w:r/>
    </w:p>
    <w:p>
      <w:pPr>
        <w:pStyle w:val="938"/>
        <w:ind w:firstLine="482"/>
        <w:jc w:val="left"/>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十、快递包装环保要求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1.快递包装中重金属（铅、汞、镉、六价铬）总量应不大于100mg/kg；</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3.快递包装中使用纸基材的包装材料，纸基材中的有机氯的含量应不大于150 mg/kg；</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7.快递中使用的集装袋应为单一材质制成，其重复使用次数应不小于80 次；</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8.快递中应使用幅宽不大于45mm 的生物降解胶带；</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9.快递包装中不得使用溶剂型胶黏剂；</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10.快递应使用电子面单；</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11.直接使用商品包装作为快递包装的商品，其商品包装满足《商品包装政府采购需求标准（试行）》即可；</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12.快递包装产品质量和封装方式应符合相关国家或行业标准技术指标要求。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十一、</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十二、其他</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本项目不接受备选的投标方案或有选择的报价，只允许有一个投标报价。投标报价内容包括：货物本身价格、运输、装卸、人工、产品损耗、报验、检测、检验、售后服务、税费等完成本项目所涉及的一切相关费用。</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2.供应商报价时应充分考虑所有可能影响到报价的因素，一旦最终中标，总价将包定。不予调整。如发生漏、缺、少项，都将被认为是供应商的报价让利行为，损失自负。</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3.采购单位随机抽取部分样品进行送检，样品需符合采购技术参数要求，检测相关费用由供应</w:t>
      </w:r>
      <w:r>
        <w:rPr>
          <w:rFonts w:hint="eastAsia" w:ascii="宋体" w:hAnsi="宋体" w:eastAsia="宋体" w:cs="宋体"/>
          <w:b w:val="0"/>
          <w:bCs w:val="0"/>
          <w:color w:val="auto"/>
          <w:sz w:val="24"/>
          <w:szCs w:val="24"/>
          <w:highlight w:val="none"/>
          <w:lang w:val="en-US" w:eastAsia="zh-CN" w:bidi="ar-SA"/>
        </w:rPr>
        <w:t xml:space="preserve">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应按逾期交货总额每日千分之六向甲方支付违约金，由采购单位从待付货款中扣除。逾期超过约定日期10个工作日不能交货的，采购单位可解除本合同。供应商因逾期交货或因其他违约行为导致采购单位解除合同的，供应商应向采购单位支付合同总值10%的违约金，如造成采购单位损失超过违约金的，超出部分由供应商继续承担赔偿责任。）</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4.项目服务期间产生的人员及财产损失由供应商承担。</w:t>
      </w:r>
      <w:r/>
    </w:p>
    <w:p>
      <w:pPr>
        <w:ind w:firstLine="480"/>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5.中标后，供应商按预算金额除以中标单价进行供货，如遇总价除以单价除不尽的情况进行取整（袋数，数量不足1的部分按1计算）；</w:t>
      </w:r>
      <w:r/>
    </w:p>
    <w:p>
      <w:pPr>
        <w:numPr>
          <w:ilvl w:val="0"/>
          <w:numId w:val="0"/>
        </w:numPr>
        <w:ind w:firstLine="482"/>
        <w:keepLines w:val="0"/>
        <w:keepNext w:val="0"/>
        <w:pageBreakBefore w:val="0"/>
        <w:spacing w:line="400" w:lineRule="exact"/>
        <w:rPr>
          <w:rFonts w:hint="eastAsia" w:ascii="宋体" w:hAnsi="宋体" w:eastAsia="宋体" w:cs="宋体"/>
          <w:b/>
          <w:bCs/>
          <w:color w:val="ff0000"/>
          <w:sz w:val="24"/>
          <w:szCs w:val="24"/>
          <w:highlight w:val="none"/>
          <w:lang w:val="en-US" w:eastAsia="zh-CN" w:bidi="ar-SA"/>
        </w:rPr>
        <w:outlineLvl w:val="0"/>
      </w:pPr>
      <w:r>
        <w:rPr>
          <w:rFonts w:hint="eastAsia" w:ascii="宋体" w:hAnsi="宋体" w:eastAsia="宋体" w:cs="宋体"/>
          <w:b/>
          <w:bCs/>
          <w:color w:val="ff0000"/>
          <w:sz w:val="24"/>
          <w:szCs w:val="24"/>
          <w:highlight w:val="none"/>
          <w:lang w:val="en-US" w:eastAsia="zh-CN" w:bidi="ar-SA"/>
        </w:rPr>
      </w:r>
      <w:bookmarkEnd w:id="183"/>
      <w:r/>
      <w:r/>
    </w:p>
    <w:p>
      <w:pPr>
        <w:ind w:firstLine="480"/>
        <w:keepLines w:val="0"/>
        <w:keepNext w:val="0"/>
        <w:pageBreakBefore w:val="0"/>
        <w:spacing w:line="400" w:lineRule="exact"/>
        <w:rPr>
          <w:rFonts w:hint="default" w:ascii="宋体" w:hAnsi="宋体" w:eastAsia="宋体" w:cs="宋体"/>
          <w:b w:val="0"/>
          <w:bCs w:val="0"/>
          <w:color w:val="auto"/>
          <w:sz w:val="24"/>
          <w:szCs w:val="24"/>
          <w:highlight w:val="none"/>
          <w:lang w:val="en-US" w:eastAsia="zh-CN" w:bidi="ar-SA"/>
        </w:rPr>
        <w:outlineLvl w:val="0"/>
      </w:pPr>
      <w:r>
        <w:rPr>
          <w:rFonts w:hint="default" w:ascii="宋体" w:hAnsi="宋体" w:eastAsia="宋体" w:cs="宋体"/>
          <w:b w:val="0"/>
          <w:bCs w:val="0"/>
          <w:color w:val="auto"/>
          <w:sz w:val="24"/>
          <w:szCs w:val="24"/>
          <w:highlight w:val="none"/>
          <w:lang w:val="en-US" w:eastAsia="zh-CN" w:bidi="ar-SA"/>
        </w:rPr>
      </w:r>
      <w:r/>
    </w:p>
    <w:p>
      <w:pPr>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pStyle w:val="727"/>
        <w:jc w:val="center"/>
        <w:shd w:val="clear" w:color="auto"/>
        <w:rPr>
          <w:rFonts w:hint="eastAsia" w:ascii="宋体" w:hAnsi="宋体" w:eastAsia="宋体" w:cs="宋体"/>
          <w:b/>
          <w:bCs w:val="0"/>
          <w:color w:val="auto"/>
          <w:sz w:val="44"/>
          <w:highlight w:val="none"/>
        </w:rPr>
      </w:pPr>
      <w:r/>
      <w:bookmarkStart w:id="184" w:name="_Toc7441"/>
      <w:r>
        <w:rPr>
          <w:rFonts w:hint="eastAsia" w:ascii="宋体" w:hAnsi="宋体" w:eastAsia="宋体" w:cs="宋体"/>
          <w:b/>
          <w:bCs w:val="0"/>
          <w:color w:val="auto"/>
          <w:sz w:val="44"/>
          <w:highlight w:val="none"/>
        </w:rPr>
        <w:t xml:space="preserve">第五章  评标方法与评标标准</w:t>
      </w:r>
      <w:bookmarkEnd w:id="184"/>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37"/>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37"/>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37"/>
        <w:tblW w:w="111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25"/>
        <w:gridCol w:w="9108"/>
      </w:tblGrid>
      <w:tr>
        <w:trPr>
          <w:jc w:val="center"/>
          <w:trHeight w:val="572"/>
        </w:trPr>
        <w:tc>
          <w:tcPr>
            <w:tcW w:w="118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bookmarkStart w:id="185" w:name="RANGE!A1"/>
            <w:r>
              <w:rPr>
                <w:rFonts w:hint="eastAsia" w:ascii="宋体" w:hAnsi="宋体" w:eastAsia="宋体" w:cs="宋体"/>
                <w:color w:val="auto"/>
                <w:sz w:val="24"/>
                <w:szCs w:val="24"/>
                <w:highlight w:val="none"/>
              </w:rPr>
              <w:t xml:space="preserve">评审因素</w:t>
            </w:r>
            <w:bookmarkEnd w:id="185"/>
            <w:r/>
            <w:r/>
          </w:p>
        </w:tc>
        <w:tc>
          <w:tcPr>
            <w:tcW w:w="82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W w:w="9108"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965"/>
        </w:trPr>
        <w:tc>
          <w:tcPr>
            <w:tcW w:w="118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bookmarkStart w:id="186" w:name="_Hlk207640977"/>
            <w:r/>
            <w:bookmarkStart w:id="187" w:name="OLE_LINK15"/>
            <w:r/>
            <w:bookmarkStart w:id="188" w:name="OLE_LINK16"/>
            <w:r>
              <w:rPr>
                <w:rFonts w:hint="eastAsia" w:ascii="宋体" w:hAnsi="宋体" w:eastAsia="宋体" w:cs="宋体"/>
                <w:color w:val="auto"/>
                <w:sz w:val="24"/>
                <w:szCs w:val="24"/>
                <w:highlight w:val="none"/>
              </w:rPr>
              <w:t xml:space="preserve">投标报价</w:t>
            </w:r>
            <w:r/>
          </w:p>
        </w:tc>
        <w:tc>
          <w:tcPr>
            <w:tcW w:w="82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w:t>
            </w:r>
            <w:r>
              <w:rPr>
                <w:rFonts w:hint="eastAsia" w:ascii="宋体" w:hAnsi="宋体" w:eastAsia="宋体" w:cs="宋体"/>
                <w:color w:val="ff0000"/>
                <w:sz w:val="24"/>
                <w:szCs w:val="24"/>
                <w:highlight w:val="none"/>
              </w:rPr>
              <w:t xml:space="preserve">最低</w:t>
            </w:r>
            <w:r>
              <w:rPr>
                <w:rFonts w:hint="eastAsia" w:ascii="宋体" w:hAnsi="宋体" w:eastAsia="宋体" w:cs="宋体"/>
                <w:color w:val="ff0000"/>
                <w:sz w:val="24"/>
                <w:szCs w:val="24"/>
                <w:highlight w:val="none"/>
                <w:lang w:val="en-US" w:eastAsia="zh-CN"/>
              </w:rPr>
              <w:t xml:space="preserve">单价</w:t>
            </w:r>
            <w:r>
              <w:rPr>
                <w:rFonts w:hint="eastAsia" w:ascii="宋体" w:hAnsi="宋体" w:eastAsia="宋体" w:cs="宋体"/>
                <w:color w:val="auto"/>
                <w:sz w:val="24"/>
                <w:szCs w:val="24"/>
                <w:highlight w:val="none"/>
              </w:rPr>
              <w:t xml:space="preserve">的投标报价为评标基准价，其价格分为满分。其他投标人投标报价得分＝（评标基准价/投标报价）*40。</w:t>
            </w:r>
            <w:bookmarkEnd w:id="186"/>
            <w:r/>
            <w:bookmarkEnd w:id="187"/>
            <w:r/>
            <w:bookmarkEnd w:id="188"/>
            <w:r/>
            <w:r/>
          </w:p>
        </w:tc>
      </w:tr>
      <w:tr>
        <w:trPr>
          <w:jc w:val="center"/>
          <w:trHeight w:val="859"/>
        </w:trPr>
        <w:tc>
          <w:tcPr>
            <w:tcW w:w="118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bookmarkStart w:id="189" w:name="OLE_LINK17"/>
            <w:r>
              <w:rPr>
                <w:rFonts w:hint="eastAsia" w:ascii="宋体" w:hAnsi="宋体" w:eastAsia="宋体" w:cs="宋体"/>
                <w:color w:val="auto"/>
                <w:sz w:val="24"/>
                <w:szCs w:val="24"/>
                <w:highlight w:val="none"/>
              </w:rPr>
              <w:t xml:space="preserve">技术参数响应</w:t>
            </w:r>
            <w:bookmarkEnd w:id="189"/>
            <w:r/>
            <w:r/>
          </w:p>
        </w:tc>
        <w:tc>
          <w:tcPr>
            <w:tcW w:w="82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针对招标文件“第四部分 采购需求”中的“四、技术参数要求”表中所列内容进行评分，所投产品技术参数完全满足或优于招标文件技术参数要求的得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即参数</w:t>
            </w:r>
            <w:r>
              <w:rPr>
                <w:rFonts w:hint="eastAsia" w:ascii="宋体" w:hAnsi="宋体" w:eastAsia="宋体" w:cs="宋体"/>
                <w:b w:val="0"/>
                <w:bCs w:val="0"/>
                <w:color w:val="auto"/>
                <w:sz w:val="24"/>
                <w:szCs w:val="24"/>
                <w:highlight w:val="none"/>
                <w:lang w:val="en-US" w:eastAsia="zh-CN" w:bidi="ar-SA"/>
              </w:rPr>
              <w:t xml:space="preserve">①-⑤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，每有一项不满足的扣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p>
        </w:tc>
      </w:tr>
      <w:tr>
        <w:trPr>
          <w:jc w:val="center"/>
          <w:trHeight w:val="1565"/>
        </w:trPr>
        <w:tc>
          <w:tcPr>
            <w:tcW w:w="118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jc w:val="cente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82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年1月1日（以合同签订时间为准）以来，承担过与本项目类似业绩，每提供一个得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注：业绩需同时提供项目中标（成交）通知书、合同及验收合格材料电子件，且业绩合同中主要内容、标的、金额等清晰可见，未提供或提供不全的不得分。</w:t>
            </w:r>
            <w:r/>
          </w:p>
        </w:tc>
      </w:tr>
      <w:tr>
        <w:trPr>
          <w:jc w:val="center"/>
          <w:trHeight w:val="1265"/>
        </w:trPr>
        <w:tc>
          <w:tcPr>
            <w:tcW w:w="1185" w:type="dxa"/>
            <w:vAlign w:val="center"/>
            <w:textDirection w:val="lrTb"/>
            <w:noWrap w:val="false"/>
          </w:tcPr>
          <w:p>
            <w:pPr>
              <w:jc w:val="center"/>
              <w:keepLines w:val="0"/>
              <w:keepNext w:val="0"/>
              <w:pageBreakBefore w:val="0"/>
              <w:spacing w:line="400" w:lineRule="exact"/>
              <w:shd w:val="clear" w:color="auto"/>
              <w:widowControl/>
              <w:rPr>
                <w:rFonts w:ascii="宋体" w:hAnsi="宋体" w:eastAsia="宋体" w:cs="宋体"/>
                <w:sz w:val="24"/>
                <w:szCs w:val="24"/>
              </w:rPr>
            </w:pPr>
            <w:r>
              <w:rPr>
                <w:rFonts w:ascii="宋体" w:hAnsi="宋体" w:eastAsia="宋体" w:cs="宋体"/>
                <w:sz w:val="24"/>
                <w:szCs w:val="24"/>
              </w:rPr>
              <w:t xml:space="preserve">包装与标识</w:t>
            </w:r>
            <w:r/>
          </w:p>
        </w:tc>
        <w:tc>
          <w:tcPr>
            <w:tcW w:w="825"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9.00</w:t>
            </w:r>
            <w:r/>
          </w:p>
        </w:tc>
        <w:tc>
          <w:tcPr>
            <w:tcW w:w="9108" w:type="dxa"/>
            <w:vAlign w:val="center"/>
            <w:textDirection w:val="lrTb"/>
            <w:noWrap w:val="false"/>
          </w:tcPr>
          <w:p>
            <w:pPr>
              <w:ind w:left="0" w:right="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rPr>
              <w:t xml:space="preserve">产品包装完好、密封防潮、不易破损，得2分</w:t>
            </w:r>
            <w:r>
              <w:rPr>
                <w:rFonts w:hint="eastAsia"/>
                <w:color w:val="1f2329"/>
                <w:sz w:val="24"/>
                <w:szCs w:val="24"/>
                <w:lang w:eastAsia="zh-CN"/>
              </w:rPr>
              <w:t xml:space="preserve">；</w:t>
            </w:r>
            <w:r>
              <w:rPr>
                <w:rFonts w:hint="eastAsia"/>
                <w:color w:val="1f2329"/>
                <w:sz w:val="24"/>
                <w:szCs w:val="24"/>
              </w:rPr>
              <w:t xml:space="preserve">否则不得分</w:t>
            </w:r>
            <w:r>
              <w:rPr>
                <w:color w:val="1f2329"/>
                <w:sz w:val="24"/>
                <w:szCs w:val="24"/>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color w:val="1f2329"/>
                <w:sz w:val="24"/>
                <w:szCs w:val="24"/>
              </w:rPr>
              <w:t xml:space="preserve">包装标识齐全，清晰标注：产品名称、执行标准</w:t>
            </w:r>
            <w:r>
              <w:rPr>
                <w:rFonts w:hint="eastAsia" w:ascii="宋体" w:hAnsi="宋体" w:eastAsia="宋体" w:cs="宋体"/>
                <w:color w:val="1f2329"/>
                <w:sz w:val="24"/>
                <w:szCs w:val="24"/>
              </w:rPr>
              <w:t xml:space="preserve"> GB/T 2440-2017、总氮（N）含量、等级、净含量、生产企业名称及地址，得 </w:t>
            </w:r>
            <w:r>
              <w:rPr>
                <w:rFonts w:hint="eastAsia" w:ascii="宋体" w:hAnsi="宋体" w:eastAsia="宋体" w:cs="宋体"/>
                <w:color w:val="1f2329"/>
                <w:sz w:val="24"/>
                <w:szCs w:val="24"/>
                <w:lang w:val="en-US" w:eastAsia="zh-CN"/>
              </w:rPr>
              <w:t xml:space="preserve">7</w:t>
            </w:r>
            <w:r>
              <w:rPr>
                <w:rFonts w:hint="eastAsia" w:ascii="宋体" w:hAnsi="宋体" w:eastAsia="宋体" w:cs="宋体"/>
                <w:color w:val="1f2329"/>
                <w:sz w:val="24"/>
                <w:szCs w:val="24"/>
              </w:rPr>
              <w:t xml:space="preserve">分；缺一项扣 </w:t>
            </w:r>
            <w:r>
              <w:rPr>
                <w:rFonts w:hint="eastAsia" w:ascii="宋体" w:hAnsi="宋体" w:eastAsia="宋体" w:cs="宋体"/>
                <w:color w:val="1f2329"/>
                <w:sz w:val="24"/>
                <w:szCs w:val="24"/>
                <w:lang w:val="en-US" w:eastAsia="zh-CN"/>
              </w:rPr>
              <w:t xml:space="preserve">1</w:t>
            </w:r>
            <w:r>
              <w:rPr>
                <w:rFonts w:hint="eastAsia" w:ascii="宋体" w:hAnsi="宋体" w:eastAsia="宋体" w:cs="宋体"/>
                <w:color w:val="1f2329"/>
                <w:sz w:val="24"/>
                <w:szCs w:val="24"/>
              </w:rPr>
              <w:t xml:space="preserve"> 分，扣完为止。</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rPr>
              <w:t xml:space="preserve">注</w:t>
            </w:r>
            <w:r>
              <w:rPr>
                <w:rFonts w:hint="eastAsia" w:ascii="宋体" w:hAnsi="宋体" w:eastAsia="宋体" w:cs="宋体"/>
                <w:color w:val="1f2329"/>
                <w:sz w:val="24"/>
                <w:szCs w:val="24"/>
                <w:lang w:eastAsia="zh-CN"/>
              </w:rPr>
              <w:t xml:space="preserve">：</w:t>
            </w:r>
            <w:r>
              <w:rPr>
                <w:rFonts w:hint="eastAsia" w:ascii="宋体" w:hAnsi="宋体" w:eastAsia="宋体" w:cs="宋体"/>
                <w:color w:val="1f2329"/>
                <w:sz w:val="24"/>
                <w:szCs w:val="24"/>
              </w:rPr>
              <w:t xml:space="preserve">提供产品图册或其他证明材料。</w:t>
            </w:r>
            <w:r/>
          </w:p>
        </w:tc>
      </w:tr>
      <w:tr>
        <w:trPr>
          <w:jc w:val="center"/>
          <w:trHeight w:val="1265"/>
        </w:trPr>
        <w:tc>
          <w:tcPr>
            <w:tcW w:w="1185"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货源组织保障</w:t>
            </w:r>
            <w:r>
              <w:rPr>
                <w:rFonts w:hint="eastAsia" w:ascii="宋体" w:hAnsi="宋体" w:eastAsia="宋体" w:cs="宋体"/>
                <w:color w:val="auto"/>
                <w:sz w:val="24"/>
                <w:szCs w:val="24"/>
                <w:highlight w:val="none"/>
                <w:lang w:val="en-US" w:eastAsia="zh-CN"/>
              </w:rPr>
              <w:t xml:space="preserve">方案</w:t>
            </w:r>
            <w:r/>
          </w:p>
        </w:tc>
        <w:tc>
          <w:tcPr>
            <w:tcW w:w="82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针对采购文件“第四章 采购需求”中“五、整体项目实施要求”，提供货源组织保障</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投标方案</w:t>
            </w:r>
            <w:r>
              <w:rPr>
                <w:rFonts w:hint="eastAsia" w:ascii="宋体" w:hAnsi="宋体" w:eastAsia="宋体" w:cs="宋体"/>
                <w:color w:val="auto"/>
                <w:sz w:val="24"/>
                <w:szCs w:val="24"/>
                <w:highlight w:val="none"/>
              </w:rPr>
              <w:t xml:space="preserve">明确提供尿素货源来源，来源合法、稳定，能满足批量供应需求，得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分；货源来源清晰，产能勉强满足需求，得3分；未明确货源来源，或货源不稳定、无法保障批量供应，得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没有内容不得分。</w:t>
            </w:r>
            <w:r/>
          </w:p>
        </w:tc>
      </w:tr>
      <w:tr>
        <w:trPr>
          <w:jc w:val="center"/>
          <w:trHeight w:val="1265"/>
        </w:trPr>
        <w:tc>
          <w:tcPr>
            <w:tcW w:w="118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eastAsia="zh-CN"/>
              </w:rPr>
              <w:t xml:space="preserve">质量追溯</w:t>
            </w:r>
            <w:r>
              <w:rPr>
                <w:rFonts w:hint="eastAsia" w:ascii="宋体" w:hAnsi="宋体" w:eastAsia="宋体" w:cs="宋体"/>
                <w:color w:val="auto"/>
                <w:sz w:val="24"/>
                <w:szCs w:val="24"/>
                <w:highlight w:val="none"/>
                <w:lang w:val="en-US" w:eastAsia="zh-CN"/>
              </w:rPr>
              <w:t xml:space="preserve">方案</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采购需求”中“五、整体项目实施要求”，提供</w:t>
            </w:r>
            <w:r>
              <w:rPr>
                <w:rFonts w:hint="default" w:ascii="宋体" w:hAnsi="宋体" w:eastAsia="宋体" w:cs="宋体"/>
                <w:color w:val="auto"/>
                <w:sz w:val="24"/>
                <w:szCs w:val="24"/>
                <w:highlight w:val="none"/>
                <w:lang w:val="en-US" w:eastAsia="zh-CN"/>
              </w:rPr>
              <w:t xml:space="preserve">质量追溯</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投标方案</w:t>
            </w:r>
            <w:r>
              <w:rPr>
                <w:rFonts w:hint="default" w:ascii="宋体" w:hAnsi="宋体" w:eastAsia="宋体" w:cs="宋体"/>
                <w:color w:val="auto"/>
                <w:sz w:val="24"/>
                <w:szCs w:val="24"/>
                <w:highlight w:val="none"/>
                <w:lang w:val="en-US" w:eastAsia="zh-CN"/>
              </w:rPr>
              <w:t xml:space="preserve">建立完善的尿素质量追溯体系，明确追溯流程、追溯信息（含生产、仓储、运输各环节），可实现全程追溯，得</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；有基本的质量追溯思路，但未明确具体流程和信息，得3分；未制定任何质量追溯相关方案，得1分。</w:t>
            </w:r>
            <w:r>
              <w:rPr>
                <w:rFonts w:hint="eastAsia" w:ascii="宋体" w:hAnsi="宋体" w:eastAsia="宋体" w:cs="宋体"/>
                <w:color w:val="auto"/>
                <w:sz w:val="24"/>
                <w:szCs w:val="24"/>
                <w:highlight w:val="none"/>
                <w:lang w:val="en-US" w:eastAsia="zh-CN"/>
              </w:rPr>
              <w:t xml:space="preserve">没有内容不得分。</w:t>
            </w:r>
            <w:r/>
          </w:p>
        </w:tc>
      </w:tr>
      <w:tr>
        <w:trPr>
          <w:jc w:val="center"/>
          <w:trHeight w:val="1265"/>
        </w:trPr>
        <w:tc>
          <w:tcPr>
            <w:tcW w:w="118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eastAsia="zh-CN"/>
              </w:rPr>
              <w:t xml:space="preserve">质量承诺与退换货服务</w:t>
            </w:r>
            <w:r>
              <w:rPr>
                <w:rFonts w:hint="eastAsia" w:ascii="宋体" w:hAnsi="宋体" w:eastAsia="宋体" w:cs="宋体"/>
                <w:color w:val="auto"/>
                <w:sz w:val="24"/>
                <w:szCs w:val="24"/>
                <w:highlight w:val="none"/>
                <w:lang w:val="en-US" w:eastAsia="zh-CN"/>
              </w:rPr>
              <w:t xml:space="preserve">方案</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采购需求”中“五、整体项目实施要求”，提供</w:t>
            </w:r>
            <w:r>
              <w:rPr>
                <w:rFonts w:hint="default" w:ascii="宋体" w:hAnsi="宋体" w:eastAsia="宋体" w:cs="宋体"/>
                <w:color w:val="auto"/>
                <w:sz w:val="24"/>
                <w:szCs w:val="24"/>
                <w:highlight w:val="none"/>
                <w:lang w:val="en-US" w:eastAsia="zh-CN"/>
              </w:rPr>
              <w:t xml:space="preserve">质量承诺与退换货服务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投标方案</w:t>
            </w:r>
            <w:r>
              <w:rPr>
                <w:rFonts w:hint="default" w:ascii="宋体" w:hAnsi="宋体" w:eastAsia="宋体" w:cs="宋体"/>
                <w:color w:val="auto"/>
                <w:sz w:val="24"/>
                <w:szCs w:val="24"/>
                <w:highlight w:val="none"/>
                <w:lang w:val="en-US" w:eastAsia="zh-CN"/>
              </w:rPr>
              <w:t xml:space="preserve">明确尿素质量承诺（符合国家相关标准、项目要求），制定详细的退换货流程、退换货时限，明确退换货责任及费用承担，得</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分；有质量承诺和退换货服务，但流程、时限不够明确，得</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分；未明确质量承诺，或未制定退换货服务方案，得</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没有内容不得分。</w:t>
            </w:r>
            <w:r/>
          </w:p>
        </w:tc>
      </w:tr>
      <w:tr>
        <w:trPr>
          <w:jc w:val="center"/>
          <w:trHeight w:val="1360"/>
        </w:trPr>
        <w:tc>
          <w:tcPr>
            <w:tcW w:w="118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eastAsia="zh-CN"/>
              </w:rPr>
              <w:t xml:space="preserve">技术指导与使用咨询</w:t>
            </w:r>
            <w:r>
              <w:rPr>
                <w:rFonts w:hint="eastAsia" w:ascii="宋体" w:hAnsi="宋体" w:eastAsia="宋体" w:cs="宋体"/>
                <w:color w:val="auto"/>
                <w:sz w:val="24"/>
                <w:szCs w:val="24"/>
                <w:highlight w:val="none"/>
                <w:lang w:val="en-US" w:eastAsia="zh-CN"/>
              </w:rPr>
              <w:t xml:space="preserve">方案</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val="false"/>
          </w:tcPr>
          <w:p>
            <w:pPr>
              <w:keepLines w:val="0"/>
              <w:keepNext w:val="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c>
          <w:tcPr>
            <w:tcW w:w="9108" w:type="dxa"/>
            <w:vAlign w:val="center"/>
            <w:textDirection w:val="lrTb"/>
            <w:noWrap w:val="false"/>
          </w:tcPr>
          <w:p>
            <w:pPr>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采购需求”中“五、整体项目实施要求”，提供</w:t>
            </w:r>
            <w:r>
              <w:rPr>
                <w:rFonts w:hint="default" w:ascii="宋体" w:hAnsi="宋体" w:eastAsia="宋体" w:cs="宋体"/>
                <w:color w:val="auto"/>
                <w:sz w:val="24"/>
                <w:szCs w:val="24"/>
                <w:highlight w:val="none"/>
                <w:lang w:val="en-US" w:eastAsia="zh-CN"/>
              </w:rPr>
              <w:t xml:space="preserve">技术指导与使用咨询</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投标方案</w:t>
            </w:r>
            <w:r>
              <w:rPr>
                <w:rFonts w:hint="default" w:ascii="宋体" w:hAnsi="宋体" w:eastAsia="宋体" w:cs="宋体"/>
                <w:color w:val="auto"/>
                <w:sz w:val="24"/>
                <w:szCs w:val="24"/>
                <w:highlight w:val="none"/>
                <w:lang w:val="en-US" w:eastAsia="zh-CN"/>
              </w:rPr>
              <w:t xml:space="preserve">提供专业的尿素使用技术指导（如施肥方法、用量建议等），明确咨询渠道（电话、专人对接等），能及时解答使用疑问，得</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分；有基本的咨询服务，但未提供技术指导或咨询渠道不够完善，得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分；未提供技术指导及使用咨询服务，得1分。</w:t>
            </w:r>
            <w:r>
              <w:rPr>
                <w:rFonts w:hint="eastAsia" w:ascii="宋体" w:hAnsi="宋体" w:eastAsia="宋体" w:cs="宋体"/>
                <w:color w:val="auto"/>
                <w:sz w:val="24"/>
                <w:szCs w:val="24"/>
                <w:highlight w:val="none"/>
                <w:lang w:val="en-US" w:eastAsia="zh-CN"/>
              </w:rPr>
              <w:t xml:space="preserve">没有内容不得分。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27"/>
        <w:jc w:val="center"/>
        <w:shd w:val="clear" w:color="auto"/>
        <w:rPr>
          <w:rFonts w:hint="eastAsia" w:ascii="宋体" w:hAnsi="宋体" w:eastAsia="宋体" w:cs="宋体"/>
          <w:b/>
          <w:bCs w:val="0"/>
          <w:color w:val="auto"/>
          <w:sz w:val="44"/>
          <w:highlight w:val="none"/>
        </w:rPr>
      </w:pPr>
      <w:r/>
      <w:bookmarkStart w:id="190" w:name="_Toc20454"/>
      <w:r>
        <w:rPr>
          <w:rFonts w:hint="eastAsia" w:ascii="宋体" w:hAnsi="宋体" w:eastAsia="宋体" w:cs="宋体"/>
          <w:b/>
          <w:bCs w:val="0"/>
          <w:color w:val="auto"/>
          <w:sz w:val="44"/>
          <w:highlight w:val="none"/>
        </w:rPr>
        <w:t xml:space="preserve">第六章  投标文件格式</w:t>
      </w:r>
      <w:bookmarkEnd w:id="190"/>
      <w:r/>
      <w:r/>
    </w:p>
    <w:p>
      <w:pPr>
        <w:jc w:val="center"/>
        <w:shd w:val="clear" w:color="auto"/>
        <w:rPr>
          <w:rFonts w:hint="eastAsia" w:ascii="宋体" w:hAnsi="宋体" w:eastAsia="宋体" w:cs="宋体"/>
          <w:b/>
          <w:color w:val="auto"/>
          <w:sz w:val="72"/>
          <w:highlight w:val="none"/>
        </w:rPr>
      </w:pPr>
      <w:r/>
      <w:bookmarkStart w:id="191" w:name="_Hlt26955039"/>
      <w:r/>
      <w:bookmarkEnd w:id="191"/>
      <w:r/>
      <w:bookmarkStart w:id="192" w:name="_Hlt26671244"/>
      <w:r/>
      <w:bookmarkEnd w:id="192"/>
      <w:r/>
      <w:bookmarkStart w:id="193" w:name="_Toc120614282"/>
      <w:r/>
      <w:bookmarkStart w:id="194" w:name="_Toc49090576"/>
      <w:r/>
      <w:bookmarkStart w:id="195"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25"/>
        <w:shd w:val="clear" w:color="auto"/>
        <w:rPr>
          <w:rFonts w:hint="eastAsia" w:ascii="宋体" w:hAnsi="宋体" w:eastAsia="宋体" w:cs="宋体"/>
          <w:b/>
          <w:color w:val="auto"/>
          <w:sz w:val="32"/>
          <w:szCs w:val="32"/>
          <w:highlight w:val="none"/>
        </w:rPr>
        <w:outlineLvl w:val="1"/>
      </w:pPr>
      <w:r/>
      <w:bookmarkStart w:id="196" w:name="_Toc23838"/>
      <w:r>
        <w:rPr>
          <w:rFonts w:hint="eastAsia" w:ascii="宋体" w:hAnsi="宋体" w:eastAsia="宋体" w:cs="宋体"/>
          <w:color w:val="auto"/>
          <w:highlight w:val="none"/>
        </w:rPr>
        <w:br w:type="page" w:clear="all"/>
      </w:r>
      <w:bookmarkEnd w:id="196"/>
      <w:r>
        <w:rPr>
          <w:rFonts w:hint="eastAsia" w:ascii="宋体" w:hAnsi="宋体" w:eastAsia="宋体" w:cs="宋体"/>
          <w:b/>
          <w:color w:val="auto"/>
          <w:sz w:val="32"/>
          <w:szCs w:val="32"/>
          <w:highlight w:val="none"/>
        </w:rPr>
        <w:t xml:space="preserve">一、</w:t>
      </w:r>
      <w:bookmarkEnd w:id="193"/>
      <w:r/>
      <w:bookmarkEnd w:id="194"/>
      <w:r/>
      <w:bookmarkEnd w:id="195"/>
      <w:r>
        <w:rPr>
          <w:rFonts w:hint="eastAsia" w:ascii="宋体" w:hAnsi="宋体" w:eastAsia="宋体" w:cs="宋体"/>
          <w:b/>
          <w:color w:val="auto"/>
          <w:sz w:val="32"/>
          <w:szCs w:val="32"/>
          <w:highlight w:val="none"/>
        </w:rPr>
        <w:t xml:space="preserve">投标声明及承诺函</w:t>
      </w:r>
      <w:r/>
    </w:p>
    <w:p>
      <w:pPr>
        <w:pStyle w:val="926"/>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26"/>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26"/>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2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27"/>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2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27"/>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27"/>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27"/>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27"/>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6"/>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2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2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JSZC-321311-SXSD-G2026-0012</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2026年宿豫区冬小麦促弱转壮行动项目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2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28"/>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28"/>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28"/>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28"/>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28"/>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28"/>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2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97" w:name="_Hlt26671380"/>
      <w:r/>
      <w:bookmarkEnd w:id="197"/>
      <w:r/>
      <w:bookmarkStart w:id="198" w:name="_格式3__银行出具的资信证明"/>
      <w:r/>
      <w:bookmarkEnd w:id="198"/>
      <w:r/>
      <w:bookmarkStart w:id="199" w:name="_Hlt26955070"/>
      <w:r/>
      <w:bookmarkEnd w:id="199"/>
      <w:r>
        <w:rPr>
          <w:rFonts w:hint="eastAsia" w:ascii="宋体" w:hAnsi="宋体" w:eastAsia="宋体" w:cs="宋体"/>
          <w:color w:val="auto"/>
          <w:sz w:val="24"/>
          <w:szCs w:val="24"/>
          <w:highlight w:val="none"/>
          <w:u w:val="single"/>
        </w:rPr>
        <w:t xml:space="preserve">                                            </w:t>
      </w:r>
      <w:r/>
    </w:p>
    <w:p>
      <w:pPr>
        <w:pStyle w:val="738"/>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38"/>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2026年宿豫区冬小麦促弱转壮行动项目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JSZC-321311-SXSD-G2026-0012</w:t>
      </w:r>
      <w:r/>
    </w:p>
    <w:tbl>
      <w:tblPr>
        <w:tblStyle w:val="737"/>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jc w:val="cente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b/>
                <w:bCs/>
                <w:color w:val="000000"/>
                <w:sz w:val="24"/>
                <w:szCs w:val="24"/>
                <w:highlight w:val="none"/>
              </w:rPr>
              <w:t xml:space="preserve">投</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标</w:t>
            </w:r>
            <w:r>
              <w:rPr>
                <w:rFonts w:hint="eastAsia" w:ascii="宋体" w:hAnsi="宋体"/>
                <w:b/>
                <w:bCs/>
                <w:color w:val="000000"/>
                <w:sz w:val="24"/>
                <w:szCs w:val="24"/>
                <w:highlight w:val="none"/>
                <w:lang w:val="en-US" w:eastAsia="zh-CN"/>
              </w:rPr>
              <w:t xml:space="preserve"> 单 价</w:t>
            </w:r>
            <w:r/>
          </w:p>
        </w:tc>
      </w:tr>
      <w:tr>
        <w:trPr>
          <w:cantSplit/>
          <w:trHeight w:val="633"/>
        </w:trPr>
        <w:tc>
          <w:tcPr>
            <w:tcW w:w="10037" w:type="dxa"/>
            <w:vAlign w:val="center"/>
            <w:textDirection w:val="lrTb"/>
            <w:noWrap w:val="false"/>
          </w:tcPr>
          <w:p>
            <w:pPr>
              <w:pStyle w:val="910"/>
              <w:ind w:firstLine="0"/>
              <w:keepLines w:val="0"/>
              <w:keepNext w:val="0"/>
              <w:pageBreakBefore w:val="0"/>
              <w:spacing w:before="0" w:after="0"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元/kg</w:t>
            </w:r>
            <w:r>
              <w:rPr>
                <w:rFonts w:hint="eastAsia" w:ascii="宋体" w:hAnsi="宋体" w:cs="宋体"/>
                <w:color w:val="000000"/>
                <w:sz w:val="24"/>
                <w:szCs w:val="24"/>
                <w:highlight w:val="none"/>
              </w:rPr>
              <w:t xml:space="preserve">            </w:t>
            </w:r>
            <w:r/>
          </w:p>
          <w:p>
            <w:pPr>
              <w:pStyle w:val="910"/>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/kg</w:t>
            </w:r>
            <w:r/>
          </w:p>
        </w:tc>
      </w:tr>
      <w:tr>
        <w:trPr>
          <w:cantSplit/>
          <w:trHeight w:val="650"/>
        </w:trPr>
        <w:tc>
          <w:tcPr>
            <w:tcW w:w="10037" w:type="dxa"/>
            <w:vAlign w:val="center"/>
            <w:textDirection w:val="lrTb"/>
            <w:noWrap w:val="false"/>
          </w:tcPr>
          <w:p>
            <w:pPr>
              <w:pStyle w:val="910"/>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备注：2.3元/kg</w:t>
            </w:r>
            <w:r>
              <w:rPr>
                <w:rFonts w:hint="eastAsia" w:ascii="Times New Roman" w:hAnsi="Times New Roman" w:eastAsia="宋体" w:cs="Courier New"/>
                <w:b w:val="0"/>
                <w:bCs w:val="0"/>
                <w:color w:val="000000"/>
                <w:sz w:val="24"/>
                <w:szCs w:val="24"/>
                <w:highlight w:val="none"/>
                <w:lang w:val="en-US" w:eastAsia="zh-CN"/>
              </w:rPr>
              <w:t xml:space="preserve">，高于此限单价作废标处理。</w:t>
            </w:r>
            <w:r/>
          </w:p>
        </w:tc>
      </w:tr>
    </w:tbl>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numPr>
          <w:ilvl w:val="0"/>
          <w:numId w:val="0"/>
        </w:numPr>
        <w:shd w:val="clear" w:color="auto"/>
        <w:rPr>
          <w:rFonts w:hint="default" w:ascii="Times New Roman" w:hAnsi="Times New Roman" w:eastAsia="宋体" w:cs="Times New Roman"/>
          <w:b/>
          <w:caps w:val="0"/>
          <w:color w:val="auto"/>
          <w:sz w:val="32"/>
          <w:szCs w:val="32"/>
          <w:lang w:val="en-US" w:eastAsia="zh-CN" w:bidi="ar-SA"/>
        </w:rPr>
        <w:outlineLvl w:val="1"/>
      </w:pPr>
      <w:r>
        <w:rPr>
          <w:rFonts w:hint="default" w:ascii="Times New Roman" w:hAnsi="Times New Roman" w:eastAsia="宋体" w:cs="Times New Roman"/>
          <w:b/>
          <w:caps w:val="0"/>
          <w:color w:val="auto"/>
          <w:sz w:val="32"/>
          <w:szCs w:val="32"/>
          <w:lang w:val="en-US" w:eastAsia="zh-CN" w:bidi="ar-SA"/>
        </w:rPr>
      </w:r>
      <w:r/>
    </w:p>
    <w:p>
      <w:pPr>
        <w:numPr>
          <w:ilvl w:val="0"/>
          <w:numId w:val="0"/>
        </w:numPr>
        <w:shd w:val="clear" w:color="auto"/>
        <w:rPr>
          <w:rFonts w:hint="default" w:ascii="Times New Roman" w:hAnsi="Times New Roman" w:eastAsia="宋体" w:cs="Times New Roman"/>
          <w:b/>
          <w:caps w:val="0"/>
          <w:color w:val="auto"/>
          <w:sz w:val="32"/>
          <w:szCs w:val="32"/>
          <w:lang w:val="en-US" w:eastAsia="zh-CN" w:bidi="ar-SA"/>
        </w:rPr>
        <w:outlineLvl w:val="1"/>
      </w:pPr>
      <w:r>
        <w:rPr>
          <w:rFonts w:hint="default" w:ascii="Times New Roman" w:hAnsi="Times New Roman" w:eastAsia="宋体" w:cs="Times New Roman"/>
          <w:b/>
          <w:caps w:val="0"/>
          <w:color w:val="auto"/>
          <w:sz w:val="32"/>
          <w:szCs w:val="32"/>
          <w:lang w:val="en-US" w:eastAsia="zh-CN" w:bidi="ar-SA"/>
        </w:rPr>
      </w:r>
      <w:r/>
    </w:p>
    <w:tbl>
      <w:tblPr>
        <w:tblStyle w:val="737"/>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75"/>
        <w:gridCol w:w="900"/>
        <w:gridCol w:w="1095"/>
        <w:gridCol w:w="960"/>
        <w:gridCol w:w="2235"/>
        <w:gridCol w:w="1530"/>
        <w:gridCol w:w="1219"/>
        <w:gridCol w:w="1186"/>
      </w:tblGrid>
      <w:tr>
        <w:trPr>
          <w:cantSplit/>
          <w:trHeight w:val="339"/>
        </w:trPr>
        <w:tc>
          <w:tcPr>
            <w:tcW w:w="77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27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6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223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153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121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77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7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6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223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153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121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Theme="minorEastAsia"/>
                <w:color w:val="000000"/>
                <w:sz w:val="24"/>
                <w:szCs w:val="24"/>
                <w:highlight w:val="none"/>
                <w:lang w:eastAsia="zh-CN"/>
              </w:rPr>
            </w:pPr>
            <w:r>
              <w:rPr>
                <w:rFonts w:hint="eastAsia" w:ascii="Times New Roman" w:hAnsi="Times New Roman"/>
                <w:color w:val="000000"/>
                <w:sz w:val="24"/>
                <w:szCs w:val="24"/>
                <w:highlight w:val="none"/>
              </w:rPr>
              <w:t xml:space="preserve">分项单价</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954"/>
        </w:trPr>
        <w:tc>
          <w:tcPr>
            <w:tcW w:w="77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2</w:t>
            </w:r>
            <w:r/>
          </w:p>
        </w:tc>
        <w:tc>
          <w:tcPr>
            <w:tcW w:w="1275" w:type="dxa"/>
            <w:vAlign w:val="center"/>
            <w:textDirection w:val="lrTb"/>
            <w:noWrap w:val="false"/>
          </w:tcPr>
          <w:p>
            <w:pPr>
              <w:ind w:left="0" w:firstLine="0"/>
              <w:jc w:val="center"/>
              <w:keepLines w:val="0"/>
              <w:keepNext w:val="0"/>
              <w:pageBreakBefore w:val="0"/>
              <w:spacing w:after="0" w:line="360" w:lineRule="exact"/>
              <w:widowControl w:val="off"/>
              <w:rPr>
                <w:rFonts w:hint="default" w:ascii="Times New Roman" w:hAnsi="Times New Roman"/>
                <w:color w:val="000000"/>
                <w:sz w:val="24"/>
                <w:szCs w:val="24"/>
                <w:highlight w:val="none"/>
                <w:lang w:val="en-US"/>
              </w:rPr>
            </w:pPr>
            <w:r>
              <w:rPr>
                <w:rFonts w:hint="eastAsia" w:ascii="宋体" w:hAnsi="宋体" w:cs="宋体"/>
                <w:color w:val="000000"/>
                <w:sz w:val="24"/>
                <w:szCs w:val="22"/>
                <w:highlight w:val="none"/>
                <w:lang w:val="en-US" w:eastAsia="zh-CN"/>
              </w:rPr>
              <w:t xml:space="preserve">尿素</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09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Theme="minorEastAsia"/>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50kg/袋</w:t>
            </w:r>
            <w:r/>
          </w:p>
        </w:tc>
        <w:tc>
          <w:tcPr>
            <w:tcW w:w="96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23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530" w:type="dxa"/>
            <w:vAlign w:val="center"/>
            <w:textDirection w:val="lrTb"/>
            <w:noWrap w:val="false"/>
          </w:tcPr>
          <w:p>
            <w:pPr>
              <w:jc w:val="both"/>
              <w:keepLines w:val="0"/>
              <w:keepNext w:val="0"/>
              <w:pageBreakBefore w:val="0"/>
              <w:spacing w:line="360" w:lineRule="exact"/>
              <w:widowControl w:val="off"/>
              <w:rPr>
                <w:rFonts w:hint="eastAsia" w:ascii="Times New Roman" w:hAnsi="Times New Roman"/>
                <w:color w:val="000000"/>
                <w:sz w:val="24"/>
                <w:szCs w:val="24"/>
                <w:highlight w:val="none"/>
                <w:lang w:val="en-US" w:eastAsia="zh-CN"/>
              </w:rPr>
            </w:pPr>
            <w:r>
              <w:rPr>
                <w:rFonts w:hint="eastAsia" w:ascii="Times New Roman" w:hAnsi="Times New Roman" w:eastAsia="宋体"/>
                <w:color w:val="000000"/>
                <w:sz w:val="24"/>
                <w:szCs w:val="24"/>
                <w:highlight w:val="none"/>
                <w:u w:val="single"/>
                <w:lang w:val="en-US" w:eastAsia="zh-CN"/>
              </w:rPr>
              <w:t xml:space="preserve">       kg,</w:t>
            </w:r>
            <w:r/>
          </w:p>
          <w:p>
            <w:pPr>
              <w:jc w:val="both"/>
              <w:keepLines w:val="0"/>
              <w:keepNext w:val="0"/>
              <w:pageBreakBefore w:val="0"/>
              <w:spacing w:line="360" w:lineRule="exact"/>
              <w:widowControl w:val="off"/>
              <w:rPr>
                <w:rFonts w:hint="default"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lang w:val="en-US" w:eastAsia="zh-CN"/>
              </w:rPr>
              <w:t xml:space="preserve">即</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none"/>
                <w:lang w:val="en-US" w:eastAsia="zh-CN"/>
              </w:rPr>
              <w:t xml:space="preserve">袋</w:t>
            </w:r>
            <w:r/>
          </w:p>
        </w:tc>
        <w:tc>
          <w:tcPr>
            <w:tcW w:w="1219" w:type="dxa"/>
            <w:vAlign w:val="center"/>
            <w:textDirection w:val="lrTb"/>
            <w:noWrap w:val="false"/>
          </w:tcPr>
          <w:p>
            <w:pPr>
              <w:jc w:val="both"/>
              <w:keepLines w:val="0"/>
              <w:keepNext w:val="0"/>
              <w:pageBreakBefore w:val="0"/>
              <w:spacing w:line="360" w:lineRule="exact"/>
              <w:widowControl w:val="off"/>
              <w:rPr>
                <w:rFonts w:hint="default" w:ascii="Times New Roman" w:hAnsi="Times New Roman" w:eastAsiaTheme="minorEastAsia"/>
                <w:color w:val="000000"/>
                <w:sz w:val="24"/>
                <w:szCs w:val="24"/>
                <w:highlight w:val="none"/>
                <w:u w:val="single"/>
                <w:lang w:val="en-US" w:eastAsia="zh-CN"/>
              </w:rPr>
            </w:pP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none"/>
                <w:lang w:val="en-US" w:eastAsia="zh-CN"/>
              </w:rPr>
              <w:t xml:space="preserve">元/kg</w:t>
            </w:r>
            <w:r/>
          </w:p>
        </w:tc>
        <w:tc>
          <w:tcPr>
            <w:tcW w:w="1186"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Theme="minorEastAsia"/>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2170000.00元</w:t>
            </w:r>
            <w:r/>
          </w:p>
        </w:tc>
      </w:tr>
      <w:tr>
        <w:trPr>
          <w:cantSplit/>
          <w:trHeight w:val="700"/>
        </w:trPr>
        <w:tc>
          <w:tcPr>
            <w:gridSpan w:val="8"/>
            <w:tcW w:w="9989"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2170000.00元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贰佰壹拾柒万元整</w:t>
            </w:r>
            <w:r>
              <w:rPr>
                <w:rFonts w:hint="eastAsia" w:ascii="Times New Roman" w:hAnsi="Times New Roman"/>
                <w:color w:val="000000"/>
                <w:sz w:val="24"/>
                <w:szCs w:val="24"/>
                <w:highlight w:val="none"/>
              </w:rPr>
              <w:t xml:space="preserve">）</w:t>
            </w:r>
            <w:r/>
          </w:p>
        </w:tc>
        <w:tc>
          <w:tcPr>
            <w:tcW w:w="1186" w:type="dxa"/>
            <w:vAlign w:val="top"/>
            <w:textDirection w:val="lrTb"/>
            <w:noWrap w:val="false"/>
          </w:tcPr>
          <w:p>
            <w:pPr>
              <w:jc w:val="center"/>
              <w:keepLines w:val="0"/>
              <w:keepNext w:val="0"/>
              <w:pageBreakBefore w:val="0"/>
              <w:spacing w:line="360" w:lineRule="exact"/>
              <w:widowControl w:val="off"/>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2170000.00元</w:t>
            </w:r>
            <w:r/>
          </w:p>
        </w:tc>
      </w:tr>
      <w:tr>
        <w:trPr>
          <w:cantSplit/>
          <w:trHeight w:val="700"/>
        </w:trPr>
        <w:tc>
          <w:tcPr>
            <w:gridSpan w:val="9"/>
            <w:tcW w:w="11175" w:type="dxa"/>
            <w:vAlign w:val="center"/>
            <w:textDirection w:val="lrTb"/>
            <w:noWrap w:val="false"/>
          </w:tcPr>
          <w:p>
            <w:pPr>
              <w:jc w:val="left"/>
              <w:keepLines w:val="0"/>
              <w:keepNext w:val="0"/>
              <w:pageBreakBefore w:val="0"/>
              <w:spacing w:line="360" w:lineRule="exact"/>
              <w:widowControl w:val="off"/>
              <w:tabs>
                <w:tab w:val="left" w:pos="4740" w:leader="none"/>
              </w:tabs>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备注：1.报价采用总承包方式，供应商的“总报价”应包括所投货物本身价格、运输、装卸、人工、产品损耗、报验、检测、检验、售后服务、税费等完成本项目所</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的一切相关费用，文件中另有规定的除外。</w:t>
      </w:r>
      <w:r/>
    </w:p>
    <w:p>
      <w:pPr>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2.“分项报价表”中“分项单价”数额应当与“开标一览表”中“投标单价”数额一致。</w:t>
      </w:r>
      <w:r/>
    </w:p>
    <w:p>
      <w:pPr>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b/>
          <w:bCs/>
          <w:color w:val="ff0000"/>
          <w:sz w:val="24"/>
          <w:highlight w:val="none"/>
          <w:lang w:val="en-US" w:eastAsia="zh-CN"/>
        </w:rPr>
        <w:t xml:space="preserve">总价÷单价=</w:t>
      </w:r>
      <w:r>
        <w:rPr>
          <w:rFonts w:hint="eastAsia" w:ascii="宋体" w:hAnsi="宋体" w:eastAsia="宋体" w:cs="宋体"/>
          <w:b/>
          <w:bCs/>
          <w:color w:val="ff0000"/>
          <w:sz w:val="24"/>
          <w:szCs w:val="24"/>
          <w:highlight w:val="none"/>
          <w:lang w:val="en-US" w:eastAsia="zh-CN" w:bidi="ar-SA"/>
        </w:rPr>
        <w:t xml:space="preserve">数量，袋数不足1的部分按1计算</w:t>
      </w:r>
      <w:r>
        <w:rPr>
          <w:rFonts w:hint="eastAsia" w:ascii="宋体" w:hAnsi="宋体" w:eastAsia="宋体" w:cs="宋体"/>
          <w:color w:val="ff0000"/>
          <w:sz w:val="24"/>
          <w:highlight w:val="none"/>
        </w:rPr>
        <w:br w:type="page" w:clear="all"/>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29"/>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9"/>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2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29"/>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29"/>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29"/>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29"/>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2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37"/>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55"/>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3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55"/>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55"/>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55"/>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5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5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55"/>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55"/>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1"/>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0" w:name="_Toc11176"/>
      <w:r>
        <w:rPr>
          <w:rFonts w:hint="eastAsia" w:ascii="宋体" w:hAnsi="宋体" w:eastAsia="宋体" w:cs="宋体"/>
          <w:b/>
          <w:color w:val="auto"/>
          <w:sz w:val="32"/>
          <w:highlight w:val="none"/>
        </w:rPr>
        <w:t xml:space="preserve">十、</w:t>
      </w:r>
      <w:bookmarkEnd w:id="200"/>
      <w:r>
        <w:rPr>
          <w:rFonts w:hint="eastAsia" w:ascii="宋体" w:hAnsi="宋体" w:eastAsia="宋体" w:cs="宋体"/>
          <w:b/>
          <w:color w:val="auto"/>
          <w:sz w:val="32"/>
          <w:highlight w:val="none"/>
        </w:rPr>
        <w:t xml:space="preserve">企业业绩</w:t>
      </w:r>
      <w:r/>
    </w:p>
    <w:p>
      <w:pPr>
        <w:pStyle w:val="932"/>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3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32"/>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1" w:name="_Toc28140"/>
      <w:r/>
      <w:r/>
    </w:p>
    <w:p>
      <w:pPr>
        <w:pStyle w:val="934"/>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34"/>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6"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7"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8"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9"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10"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11"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12"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1"/>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38"/>
        <w:ind w:firstLine="0"/>
        <w:shd w:val="clear" w:color="auto"/>
        <w:rPr>
          <w:rFonts w:hint="eastAsia" w:ascii="宋体" w:hAnsi="宋体" w:eastAsia="宋体" w:cs="宋体"/>
          <w:color w:val="auto"/>
          <w:sz w:val="24"/>
          <w:highlight w:val="none"/>
        </w:rPr>
      </w:pPr>
      <w:r/>
      <w:bookmarkStart w:id="202" w:name="_Hlt26671374"/>
      <w:r/>
      <w:bookmarkEnd w:id="202"/>
      <w:r/>
      <w:bookmarkStart w:id="203" w:name="_Hlt26609389"/>
      <w:r/>
      <w:bookmarkEnd w:id="203"/>
      <w:r/>
      <w:bookmarkStart w:id="204" w:name="_Hlt26955066"/>
      <w:r/>
      <w:bookmarkEnd w:id="204"/>
      <w:r/>
      <w:bookmarkStart w:id="205" w:name="_Toc462564146"/>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1"/>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05"/>
      <w:r/>
      <w:r/>
    </w:p>
    <w:p>
      <w:pPr>
        <w:pStyle w:val="911"/>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numPr>
          <w:ilvl w:val="0"/>
          <w:numId w:val="0"/>
        </w:numPr>
        <w:shd w:val="clear" w:color="auto"/>
        <w:rPr>
          <w:rFonts w:hint="eastAsia" w:ascii="宋体" w:hAnsi="宋体" w:eastAsia="宋体" w:cs="宋体"/>
          <w:color w:val="auto"/>
          <w:highlight w:val="none"/>
          <w:lang w:val="en-US" w:eastAsia="zh-CN"/>
        </w:rPr>
        <w:outlineLvl w:val="1"/>
      </w:pPr>
      <w:r/>
      <w:bookmarkStart w:id="206" w:name="_格式2__法定代表人授权书"/>
      <w:r/>
      <w:bookmarkEnd w:id="206"/>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36"/>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方正仿宋_GBK">
    <w:panose1 w:val="020B050302020202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37"/>
    <w:uiPriority w:val="0"/>
    <w:qFormat/>
    <w:rPr>
      <w:rFonts w:hint="default" w:asciiTheme="minorHAnsi" w:hAnsiTheme="minorHAnsi" w:eastAsiaTheme="minorEastAsia" w:cstheme="minorBidi"/>
      <w:sz w:val="21"/>
      <w:szCs w:val="22"/>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38"/>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38"/>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7"/>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9"/>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0"/>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Normal Indent"/>
    <w:basedOn w:val="726"/>
    <w:next w:val="726"/>
    <w:uiPriority w:val="0"/>
    <w:qFormat/>
    <w:pPr>
      <w:ind w:firstLine="420"/>
    </w:pPr>
  </w:style>
  <w:style w:type="paragraph" w:styleId="739">
    <w:name w:val="toc 7"/>
    <w:basedOn w:val="726"/>
    <w:next w:val="726"/>
    <w:uiPriority w:val="39"/>
    <w:unhideWhenUsed/>
    <w:qFormat/>
    <w:pPr>
      <w:ind w:left="1701" w:right="0" w:firstLine="0"/>
      <w:spacing w:after="57"/>
    </w:p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toc 5"/>
    <w:basedOn w:val="726"/>
    <w:next w:val="726"/>
    <w:uiPriority w:val="39"/>
    <w:unhideWhenUsed/>
    <w:qFormat/>
    <w:pPr>
      <w:ind w:left="1134" w:right="0" w:firstLine="0"/>
      <w:spacing w:after="57"/>
    </w:pPr>
  </w:style>
  <w:style w:type="paragraph" w:styleId="742">
    <w:name w:val="toc 3"/>
    <w:basedOn w:val="726"/>
    <w:next w:val="726"/>
    <w:uiPriority w:val="39"/>
    <w:unhideWhenUsed/>
    <w:qFormat/>
    <w:pPr>
      <w:ind w:left="567" w:right="0" w:firstLine="0"/>
      <w:spacing w:after="57"/>
    </w:pPr>
  </w:style>
  <w:style w:type="paragraph" w:styleId="743">
    <w:name w:val="toc 8"/>
    <w:basedOn w:val="726"/>
    <w:next w:val="726"/>
    <w:uiPriority w:val="39"/>
    <w:unhideWhenUsed/>
    <w:qFormat/>
    <w:pPr>
      <w:ind w:left="1984" w:right="0" w:firstLine="0"/>
      <w:spacing w:after="57"/>
    </w:pPr>
  </w:style>
  <w:style w:type="paragraph" w:styleId="744">
    <w:name w:val="endnote text"/>
    <w:basedOn w:val="726"/>
    <w:link w:val="908"/>
    <w:uiPriority w:val="99"/>
    <w:semiHidden/>
    <w:unhideWhenUsed/>
    <w:qFormat/>
    <w:pPr>
      <w:spacing w:after="0" w:line="240" w:lineRule="auto"/>
    </w:pPr>
    <w:rPr>
      <w:sz w:val="20"/>
    </w:rPr>
  </w:style>
  <w:style w:type="paragraph" w:styleId="745">
    <w:name w:val="Footer"/>
    <w:basedOn w:val="726"/>
    <w:uiPriority w:val="99"/>
    <w:unhideWhenUsed/>
    <w:qFormat/>
    <w:pPr>
      <w:tabs>
        <w:tab w:val="center" w:pos="7143" w:leader="none"/>
        <w:tab w:val="right" w:pos="14287" w:leader="none"/>
      </w:tabs>
    </w:pPr>
  </w:style>
  <w:style w:type="paragraph" w:styleId="746">
    <w:name w:val="Header"/>
    <w:basedOn w:val="726"/>
    <w:uiPriority w:val="99"/>
    <w:unhideWhenUsed/>
    <w:qFormat/>
    <w:pPr>
      <w:tabs>
        <w:tab w:val="center" w:pos="7143" w:leader="none"/>
        <w:tab w:val="right" w:pos="14287" w:leader="none"/>
      </w:tabs>
    </w:pPr>
  </w:style>
  <w:style w:type="paragraph" w:styleId="747">
    <w:name w:val="toc 1"/>
    <w:basedOn w:val="726"/>
    <w:next w:val="726"/>
    <w:uiPriority w:val="39"/>
    <w:unhideWhenUsed/>
    <w:qFormat/>
    <w:pPr>
      <w:spacing w:after="57"/>
    </w:pPr>
  </w:style>
  <w:style w:type="paragraph" w:styleId="748">
    <w:name w:val="toc 4"/>
    <w:basedOn w:val="726"/>
    <w:next w:val="726"/>
    <w:uiPriority w:val="39"/>
    <w:unhideWhenUsed/>
    <w:qFormat/>
    <w:pPr>
      <w:ind w:left="850" w:right="0" w:firstLine="0"/>
      <w:spacing w:after="57"/>
    </w:pPr>
  </w:style>
  <w:style w:type="paragraph" w:styleId="749">
    <w:name w:val="Subtitle"/>
    <w:basedOn w:val="726"/>
    <w:next w:val="726"/>
    <w:link w:val="774"/>
    <w:uiPriority w:val="11"/>
    <w:qFormat/>
    <w:pPr>
      <w:spacing w:before="200" w:after="200"/>
    </w:pPr>
    <w:rPr>
      <w:sz w:val="24"/>
      <w:szCs w:val="24"/>
    </w:rPr>
  </w:style>
  <w:style w:type="paragraph" w:styleId="750">
    <w:name w:val="footnote text"/>
    <w:basedOn w:val="726"/>
    <w:link w:val="907"/>
    <w:uiPriority w:val="99"/>
    <w:semiHidden/>
    <w:unhideWhenUsed/>
    <w:qFormat/>
    <w:pPr>
      <w:spacing w:after="40" w:line="240" w:lineRule="auto"/>
    </w:pPr>
    <w:rPr>
      <w:sz w:val="18"/>
    </w:rPr>
  </w:style>
  <w:style w:type="paragraph" w:styleId="751">
    <w:name w:val="toc 6"/>
    <w:basedOn w:val="726"/>
    <w:next w:val="726"/>
    <w:uiPriority w:val="39"/>
    <w:unhideWhenUsed/>
    <w:qFormat/>
    <w:pPr>
      <w:ind w:left="1417" w:right="0" w:firstLine="0"/>
      <w:spacing w:after="57"/>
    </w:pPr>
  </w:style>
  <w:style w:type="paragraph" w:styleId="752">
    <w:name w:val="table of figures"/>
    <w:basedOn w:val="726"/>
    <w:next w:val="726"/>
    <w:uiPriority w:val="99"/>
    <w:unhideWhenUsed/>
    <w:qFormat/>
    <w:pPr>
      <w:spacing w:after="0" w:afterAutospacing="0"/>
    </w:pPr>
  </w:style>
  <w:style w:type="paragraph" w:styleId="753">
    <w:name w:val="toc 2"/>
    <w:basedOn w:val="726"/>
    <w:next w:val="726"/>
    <w:uiPriority w:val="39"/>
    <w:unhideWhenUsed/>
    <w:qFormat/>
    <w:pPr>
      <w:ind w:left="283" w:right="0" w:firstLine="0"/>
      <w:spacing w:after="57"/>
    </w:pPr>
  </w:style>
  <w:style w:type="paragraph" w:styleId="754">
    <w:name w:val="toc 9"/>
    <w:basedOn w:val="726"/>
    <w:next w:val="726"/>
    <w:uiPriority w:val="39"/>
    <w:unhideWhenUsed/>
    <w:qFormat/>
    <w:pPr>
      <w:ind w:left="2268" w:right="0" w:firstLine="0"/>
      <w:spacing w:after="57"/>
    </w:pPr>
  </w:style>
  <w:style w:type="paragraph" w:styleId="755">
    <w:name w:val="Normal (Web)"/>
    <w:basedOn w:val="726"/>
    <w:uiPriority w:val="99"/>
    <w:qFormat/>
    <w:pPr>
      <w:spacing w:before="100" w:beforeAutospacing="1" w:after="100" w:afterAutospacing="1"/>
    </w:pPr>
    <w:rPr>
      <w:rFonts w:ascii="宋体" w:hAnsi="宋体" w:cs="宋体"/>
      <w:sz w:val="24"/>
      <w:szCs w:val="24"/>
    </w:rPr>
  </w:style>
  <w:style w:type="paragraph" w:styleId="756">
    <w:name w:val="Title"/>
    <w:basedOn w:val="726"/>
    <w:next w:val="726"/>
    <w:link w:val="773"/>
    <w:uiPriority w:val="10"/>
    <w:qFormat/>
    <w:pPr>
      <w:contextualSpacing/>
      <w:spacing w:before="300" w:after="200"/>
    </w:pPr>
    <w:rPr>
      <w:sz w:val="48"/>
      <w:szCs w:val="48"/>
    </w:r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36"/>
    <w:uiPriority w:val="0"/>
    <w:qFormat/>
    <w:rPr>
      <w:b/>
    </w:rPr>
  </w:style>
  <w:style w:type="character" w:styleId="759">
    <w:name w:val="endnote reference"/>
    <w:basedOn w:val="736"/>
    <w:uiPriority w:val="99"/>
    <w:semiHidden/>
    <w:unhideWhenUsed/>
    <w:qFormat/>
    <w:rPr>
      <w:vertAlign w:val="superscript"/>
    </w:rPr>
  </w:style>
  <w:style w:type="character" w:styleId="760">
    <w:name w:val="Hyperlink"/>
    <w:uiPriority w:val="99"/>
    <w:unhideWhenUsed/>
    <w:qFormat/>
    <w:rPr>
      <w:color w:val="0026e5" w:themeColor="hyperlink"/>
      <w:u w:val="single"/>
      <w14:textFill>
        <w14:solidFill>
          <w14:schemeClr w14:val="hlink"/>
        </w14:solidFill>
      </w14:textFill>
    </w:rPr>
  </w:style>
  <w:style w:type="character" w:styleId="761">
    <w:name w:val="footnote reference"/>
    <w:basedOn w:val="736"/>
    <w:uiPriority w:val="99"/>
    <w:unhideWhenUsed/>
    <w:qFormat/>
    <w:rPr>
      <w:vertAlign w:val="superscript"/>
    </w:rPr>
  </w:style>
  <w:style w:type="character" w:styleId="762" w:customStyle="1">
    <w:name w:val="Heading 1 Char"/>
    <w:basedOn w:val="736"/>
    <w:uiPriority w:val="9"/>
    <w:qFormat/>
    <w:rPr>
      <w:rFonts w:ascii="Arial" w:hAnsi="Arial" w:eastAsia="Arial" w:cs="Arial"/>
      <w:sz w:val="40"/>
      <w:szCs w:val="40"/>
    </w:rPr>
  </w:style>
  <w:style w:type="character" w:styleId="763" w:customStyle="1">
    <w:name w:val="Heading 2 Char"/>
    <w:basedOn w:val="736"/>
    <w:uiPriority w:val="9"/>
    <w:qFormat/>
    <w:rPr>
      <w:rFonts w:ascii="Arial" w:hAnsi="Arial" w:eastAsia="Arial" w:cs="Arial"/>
      <w:sz w:val="34"/>
    </w:rPr>
  </w:style>
  <w:style w:type="character" w:styleId="764" w:customStyle="1">
    <w:name w:val="Heading 3 Char"/>
    <w:basedOn w:val="736"/>
    <w:uiPriority w:val="9"/>
    <w:qFormat/>
    <w:rPr>
      <w:rFonts w:ascii="Arial" w:hAnsi="Arial" w:eastAsia="Arial" w:cs="Arial"/>
      <w:sz w:val="30"/>
      <w:szCs w:val="30"/>
    </w:rPr>
  </w:style>
  <w:style w:type="character" w:styleId="765" w:customStyle="1">
    <w:name w:val="Heading 4 Char"/>
    <w:basedOn w:val="736"/>
    <w:uiPriority w:val="9"/>
    <w:qFormat/>
    <w:rPr>
      <w:rFonts w:ascii="Arial" w:hAnsi="Arial" w:eastAsia="Arial" w:cs="Arial"/>
      <w:b/>
      <w:bCs/>
      <w:sz w:val="26"/>
      <w:szCs w:val="26"/>
    </w:rPr>
  </w:style>
  <w:style w:type="character" w:styleId="766" w:customStyle="1">
    <w:name w:val="Heading 5 Char"/>
    <w:basedOn w:val="736"/>
    <w:link w:val="731"/>
    <w:uiPriority w:val="9"/>
    <w:qFormat/>
    <w:rPr>
      <w:rFonts w:ascii="Arial" w:hAnsi="Arial" w:eastAsia="Arial" w:cs="Arial"/>
      <w:b/>
      <w:bCs/>
      <w:sz w:val="24"/>
      <w:szCs w:val="24"/>
    </w:rPr>
  </w:style>
  <w:style w:type="character" w:styleId="767" w:customStyle="1">
    <w:name w:val="Heading 6 Char"/>
    <w:basedOn w:val="736"/>
    <w:link w:val="732"/>
    <w:uiPriority w:val="9"/>
    <w:qFormat/>
    <w:rPr>
      <w:rFonts w:ascii="Arial" w:hAnsi="Arial" w:eastAsia="Arial" w:cs="Arial"/>
      <w:b/>
      <w:bCs/>
      <w:sz w:val="22"/>
      <w:szCs w:val="22"/>
    </w:rPr>
  </w:style>
  <w:style w:type="character" w:styleId="768" w:customStyle="1">
    <w:name w:val="Heading 7 Char"/>
    <w:basedOn w:val="736"/>
    <w:link w:val="733"/>
    <w:uiPriority w:val="9"/>
    <w:qFormat/>
    <w:rPr>
      <w:rFonts w:ascii="Arial" w:hAnsi="Arial" w:eastAsia="Arial" w:cs="Arial"/>
      <w:b/>
      <w:bCs/>
      <w:i/>
      <w:iCs/>
      <w:sz w:val="22"/>
      <w:szCs w:val="22"/>
    </w:rPr>
  </w:style>
  <w:style w:type="character" w:styleId="769" w:customStyle="1">
    <w:name w:val="Heading 8 Char"/>
    <w:basedOn w:val="736"/>
    <w:link w:val="734"/>
    <w:uiPriority w:val="9"/>
    <w:qFormat/>
    <w:rPr>
      <w:rFonts w:ascii="Arial" w:hAnsi="Arial" w:eastAsia="Arial" w:cs="Arial"/>
      <w:i/>
      <w:iCs/>
      <w:sz w:val="22"/>
      <w:szCs w:val="22"/>
    </w:rPr>
  </w:style>
  <w:style w:type="character" w:styleId="770" w:customStyle="1">
    <w:name w:val="Heading 9 Char"/>
    <w:basedOn w:val="736"/>
    <w:link w:val="735"/>
    <w:uiPriority w:val="9"/>
    <w:qFormat/>
    <w:rPr>
      <w:rFonts w:ascii="Arial" w:hAnsi="Arial" w:eastAsia="Arial" w:cs="Arial"/>
      <w:i/>
      <w:iCs/>
      <w:sz w:val="21"/>
      <w:szCs w:val="21"/>
    </w:rPr>
  </w:style>
  <w:style w:type="paragraph" w:styleId="771">
    <w:name w:val="List Paragraph"/>
    <w:basedOn w:val="726"/>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basedOn w:val="736"/>
    <w:link w:val="756"/>
    <w:uiPriority w:val="10"/>
    <w:qFormat/>
    <w:rPr>
      <w:sz w:val="48"/>
      <w:szCs w:val="48"/>
    </w:rPr>
  </w:style>
  <w:style w:type="character" w:styleId="774" w:customStyle="1">
    <w:name w:val="Subtitle Char"/>
    <w:basedOn w:val="736"/>
    <w:link w:val="749"/>
    <w:uiPriority w:val="11"/>
    <w:qFormat/>
    <w:rPr>
      <w:sz w:val="24"/>
      <w:szCs w:val="24"/>
    </w:rPr>
  </w:style>
  <w:style w:type="paragraph" w:styleId="775">
    <w:name w:val="Quote"/>
    <w:basedOn w:val="726"/>
    <w:next w:val="726"/>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26"/>
    <w:next w:val="726"/>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36"/>
    <w:uiPriority w:val="99"/>
    <w:qFormat/>
  </w:style>
  <w:style w:type="character" w:styleId="780" w:customStyle="1">
    <w:name w:val="Footer Char"/>
    <w:basedOn w:val="736"/>
    <w:uiPriority w:val="99"/>
    <w:qFormat/>
  </w:style>
  <w:style w:type="character" w:styleId="781" w:customStyle="1">
    <w:name w:val="Caption Char"/>
    <w:uiPriority w:val="99"/>
    <w:qFormat/>
  </w:style>
  <w:style w:type="table" w:styleId="782" w:customStyle="1">
    <w:name w:val="Table Grid Light"/>
    <w:basedOn w:val="73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2"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37"/>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1"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2" w:customStyle="1">
    <w:name w:val="Grid Table 4 - Accent 3"/>
    <w:basedOn w:val="737"/>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3" w:customStyle="1">
    <w:name w:val="Grid Table 4 - Accent 4"/>
    <w:basedOn w:val="737"/>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4" w:customStyle="1">
    <w:name w:val="Grid Table 4 - Accent 5"/>
    <w:basedOn w:val="737"/>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5" w:customStyle="1">
    <w:name w:val="Grid Table 4 - Accent 6"/>
    <w:basedOn w:val="737"/>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6"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8"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9" w:customStyle="1">
    <w:name w:val="Grid Table 5 Dark - Accent 3"/>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0" w:customStyle="1">
    <w:name w:val="Grid Table 5 Dark- Accent 4"/>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1" w:customStyle="1">
    <w:name w:val="Grid Table 5 Dark - Accent 5"/>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2" w:customStyle="1">
    <w:name w:val="Grid Table 5 Dark - Accent 6"/>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3" w:customStyle="1">
    <w:name w:val="Grid Table 6 Colorful"/>
    <w:basedOn w:val="73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37"/>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37"/>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37"/>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37"/>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37"/>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Grid Table 6 Colorful - Accent 6"/>
    <w:basedOn w:val="737"/>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7 Colorful"/>
    <w:basedOn w:val="73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37"/>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37"/>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37"/>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37"/>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37"/>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37"/>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37"/>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37"/>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37"/>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37"/>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37"/>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List Table 2"/>
    <w:basedOn w:val="73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37"/>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6" w:customStyle="1">
    <w:name w:val="List Table 2 - Accent 2"/>
    <w:basedOn w:val="737"/>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7" w:customStyle="1">
    <w:name w:val="List Table 2 - Accent 3"/>
    <w:basedOn w:val="737"/>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8" w:customStyle="1">
    <w:name w:val="List Table 2 - Accent 4"/>
    <w:basedOn w:val="737"/>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9" w:customStyle="1">
    <w:name w:val="List Table 2 - Accent 5"/>
    <w:basedOn w:val="737"/>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0" w:customStyle="1">
    <w:name w:val="List Table 2 - Accent 6"/>
    <w:basedOn w:val="737"/>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1" w:customStyle="1">
    <w:name w:val="List Table 3"/>
    <w:basedOn w:val="73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37"/>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3" w:customStyle="1">
    <w:name w:val="List Table 3 - Accent 2"/>
    <w:basedOn w:val="737"/>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37"/>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37"/>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37"/>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37"/>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8" w:customStyle="1">
    <w:name w:val="List Table 4"/>
    <w:basedOn w:val="73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37"/>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0" w:customStyle="1">
    <w:name w:val="List Table 4 - Accent 2"/>
    <w:basedOn w:val="737"/>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1" w:customStyle="1">
    <w:name w:val="List Table 4 - Accent 3"/>
    <w:basedOn w:val="737"/>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2" w:customStyle="1">
    <w:name w:val="List Table 4 - Accent 4"/>
    <w:basedOn w:val="737"/>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3" w:customStyle="1">
    <w:name w:val="List Table 4 - Accent 5"/>
    <w:basedOn w:val="737"/>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4" w:customStyle="1">
    <w:name w:val="List Table 4 - Accent 6"/>
    <w:basedOn w:val="737"/>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5" w:customStyle="1">
    <w:name w:val="List Table 5 Dark"/>
    <w:basedOn w:val="73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37"/>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37"/>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37"/>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37"/>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37"/>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37"/>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3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37"/>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4" w:customStyle="1">
    <w:name w:val="List Table 6 Colorful - Accent 2"/>
    <w:basedOn w:val="737"/>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5" w:customStyle="1">
    <w:name w:val="List Table 6 Colorful - Accent 3"/>
    <w:basedOn w:val="737"/>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6" w:customStyle="1">
    <w:name w:val="List Table 6 Colorful - Accent 4"/>
    <w:basedOn w:val="737"/>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7" w:customStyle="1">
    <w:name w:val="List Table 6 Colorful - Accent 5"/>
    <w:basedOn w:val="737"/>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8" w:customStyle="1">
    <w:name w:val="List Table 6 Colorful - Accent 6"/>
    <w:basedOn w:val="737"/>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9" w:customStyle="1">
    <w:name w:val="List Table 7 Colorful"/>
    <w:basedOn w:val="73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37"/>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37"/>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37"/>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37"/>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37"/>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37"/>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Lined - Accent 2"/>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9" w:customStyle="1">
    <w:name w:val="Lined - Accent 3"/>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0" w:customStyle="1">
    <w:name w:val="Lined - Accent 4"/>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Lined - Accent 5"/>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Lined - Accent 6"/>
    <w:basedOn w:val="73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amp; Lined - Accent"/>
    <w:basedOn w:val="73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37"/>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5" w:customStyle="1">
    <w:name w:val="Bordered &amp; Lined - Accent 2"/>
    <w:basedOn w:val="737"/>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6" w:customStyle="1">
    <w:name w:val="Bordered &amp; Lined - Accent 3"/>
    <w:basedOn w:val="737"/>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7" w:customStyle="1">
    <w:name w:val="Bordered &amp; Lined - Accent 4"/>
    <w:basedOn w:val="737"/>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8" w:customStyle="1">
    <w:name w:val="Bordered &amp; Lined - Accent 5"/>
    <w:basedOn w:val="737"/>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9" w:customStyle="1">
    <w:name w:val="Bordered &amp; Lined - Accent 6"/>
    <w:basedOn w:val="737"/>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0" w:customStyle="1">
    <w:name w:val="Bordered"/>
    <w:basedOn w:val="73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37"/>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2" w:customStyle="1">
    <w:name w:val="Bordered - Accent 2"/>
    <w:basedOn w:val="737"/>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3" w:customStyle="1">
    <w:name w:val="Bordered - Accent 3"/>
    <w:basedOn w:val="737"/>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4" w:customStyle="1">
    <w:name w:val="Bordered - Accent 4"/>
    <w:basedOn w:val="737"/>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5" w:customStyle="1">
    <w:name w:val="Bordered - Accent 5"/>
    <w:basedOn w:val="737"/>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6" w:customStyle="1">
    <w:name w:val="Bordered - Accent 6"/>
    <w:basedOn w:val="737"/>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7" w:customStyle="1">
    <w:name w:val="Footnote Text Char"/>
    <w:link w:val="750"/>
    <w:uiPriority w:val="99"/>
    <w:rPr>
      <w:sz w:val="18"/>
    </w:rPr>
  </w:style>
  <w:style w:type="character" w:styleId="908" w:customStyle="1">
    <w:name w:val="Endnote Text Char"/>
    <w:link w:val="744"/>
    <w:uiPriority w:val="99"/>
    <w:rPr>
      <w:sz w:val="20"/>
    </w:rPr>
  </w:style>
  <w:style w:type="paragraph" w:styleId="909" w:customStyle="1">
    <w:name w:val="TOC Heading"/>
    <w:uiPriority w:val="39"/>
    <w:unhideWhenUsed/>
    <w:rPr>
      <w:rFonts w:hint="default" w:ascii="Times New Roman" w:hAnsi="Times New Roman" w:eastAsia="宋体" w:cs="Times New Roman"/>
    </w:rPr>
  </w:style>
  <w:style w:type="paragraph" w:styleId="910" w:customStyle="1">
    <w:name w:val="普通正文"/>
    <w:basedOn w:val="726"/>
    <w:uiPriority w:val="0"/>
    <w:qFormat/>
    <w:pPr>
      <w:ind w:firstLine="480"/>
      <w:spacing w:before="120" w:after="120" w:line="360" w:lineRule="auto"/>
    </w:pPr>
    <w:rPr>
      <w:rFonts w:ascii="Arial" w:hAnsi="Arial"/>
      <w:sz w:val="24"/>
      <w:szCs w:val="24"/>
    </w:rPr>
  </w:style>
  <w:style w:type="paragraph" w:styleId="911" w:customStyle="1">
    <w:name w:val="正文空2字"/>
    <w:basedOn w:val="912"/>
    <w:uiPriority w:val="99"/>
    <w:qFormat/>
    <w:pPr>
      <w:ind w:firstLine="640"/>
      <w:spacing w:line="560" w:lineRule="exact"/>
      <w:widowControl w:val="off"/>
    </w:pPr>
    <w:rPr>
      <w:rFonts w:ascii="仿宋_GB2312" w:hAnsi="仿宋_GB2312" w:cs="仿宋_GB2312"/>
      <w:lang w:val="zh-TW"/>
    </w:rPr>
  </w:style>
  <w:style w:type="paragraph" w:styleId="912" w:customStyle="1">
    <w:name w:val="左对齐正文"/>
    <w:uiPriority w:val="99"/>
    <w:qFormat/>
    <w:rPr>
      <w:rFonts w:hint="default" w:ascii="Calibri" w:hAnsi="Calibri" w:eastAsia="仿宋_GB2312" w:cs="Calibri"/>
      <w:sz w:val="32"/>
      <w:szCs w:val="32"/>
      <w:lang w:val="en-US" w:eastAsia="zh-CN" w:bidi="ar-SA"/>
    </w:rPr>
  </w:style>
  <w:style w:type="paragraph" w:styleId="913" w:customStyle="1">
    <w:name w:val="首行缩进"/>
    <w:basedOn w:val="726"/>
    <w:uiPriority w:val="0"/>
    <w:qFormat/>
    <w:pPr>
      <w:ind w:firstLine="480"/>
    </w:pPr>
    <w:rPr>
      <w:rFonts w:ascii="Times New Roman" w:hAnsi="Times New Roman" w:cs="Times New Roman"/>
      <w:lang w:val="zh-CN"/>
    </w:rPr>
  </w:style>
  <w:style w:type="paragraph" w:styleId="914" w:customStyle="1">
    <w:name w:val="正文_3"/>
    <w:next w:val="915"/>
    <w:uiPriority w:val="0"/>
    <w:qFormat/>
    <w:pPr>
      <w:jc w:val="both"/>
      <w:widowControl w:val="off"/>
    </w:pPr>
    <w:rPr>
      <w:rFonts w:hint="default" w:ascii="Calibri" w:hAnsi="Calibri" w:eastAsia="宋体" w:cs="Times New Roman"/>
      <w:sz w:val="21"/>
      <w:szCs w:val="22"/>
      <w:lang w:val="en-US" w:eastAsia="zh-CN" w:bidi="ar-SA"/>
    </w:rPr>
  </w:style>
  <w:style w:type="paragraph" w:styleId="915" w:customStyle="1">
    <w:name w:val="Normal_19"/>
    <w:uiPriority w:val="0"/>
    <w:qFormat/>
    <w:rPr>
      <w:rFonts w:hint="default" w:ascii="Times New Roman" w:hAnsi="Times New Roman" w:eastAsia="Times New Roman" w:cs="Times New Roman"/>
      <w:sz w:val="24"/>
      <w:szCs w:val="24"/>
      <w:lang w:val="en-US" w:eastAsia="zh-CN" w:bidi="ar-SA"/>
    </w:rPr>
  </w:style>
  <w:style w:type="character" w:styleId="916" w:customStyle="1">
    <w:name w:val="默认段落字体1"/>
    <w:uiPriority w:val="1"/>
    <w:unhideWhenUsed/>
    <w:qFormat/>
    <w:rPr>
      <w:sz w:val="21"/>
      <w:szCs w:val="21"/>
      <w:lang w:val="en-US" w:eastAsia="zh-CN" w:bidi="ar-SA"/>
    </w:rPr>
  </w:style>
  <w:style w:type="paragraph" w:styleId="917" w:customStyle="1">
    <w:name w:val="正文_16_0_0"/>
    <w:next w:val="918"/>
    <w:uiPriority w:val="0"/>
    <w:qFormat/>
    <w:pPr>
      <w:jc w:val="both"/>
      <w:widowControl w:val="off"/>
    </w:pPr>
    <w:rPr>
      <w:rFonts w:hint="default" w:ascii="Calibri" w:hAnsi="Calibri" w:eastAsia="宋体" w:cs="Times New Roman"/>
      <w:sz w:val="21"/>
      <w:szCs w:val="22"/>
      <w:lang w:val="en-US" w:eastAsia="zh-CN" w:bidi="ar-SA"/>
    </w:rPr>
  </w:style>
  <w:style w:type="paragraph" w:styleId="91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character" w:styleId="919" w:customStyle="1">
    <w:name w:val="font21"/>
    <w:basedOn w:val="736"/>
    <w:uiPriority w:val="0"/>
    <w:qFormat/>
    <w:rPr>
      <w:rFonts w:hint="eastAsia" w:ascii="宋体" w:hAnsi="宋体" w:eastAsia="宋体" w:cs="宋体"/>
      <w:color w:val="000000"/>
      <w:sz w:val="24"/>
      <w:szCs w:val="24"/>
      <w:u w:val="none"/>
    </w:rPr>
  </w:style>
  <w:style w:type="character" w:styleId="920" w:customStyle="1">
    <w:name w:val="font01"/>
    <w:basedOn w:val="736"/>
    <w:uiPriority w:val="0"/>
    <w:qFormat/>
    <w:rPr>
      <w:rFonts w:hint="eastAsia" w:ascii="宋体" w:hAnsi="宋体" w:eastAsia="宋体" w:cs="宋体"/>
      <w:color w:val="000000"/>
      <w:sz w:val="22"/>
      <w:szCs w:val="22"/>
      <w:u w:val="none"/>
    </w:rPr>
  </w:style>
  <w:style w:type="character" w:styleId="921" w:customStyle="1">
    <w:name w:val="font11"/>
    <w:basedOn w:val="736"/>
    <w:uiPriority w:val="0"/>
    <w:qFormat/>
    <w:rPr>
      <w:rFonts w:hint="eastAsia" w:ascii="方正仿宋_GBK" w:hAnsi="方正仿宋_GBK" w:eastAsia="方正仿宋_GBK" w:cs="方正仿宋_GBK"/>
      <w:color w:val="000000"/>
      <w:sz w:val="24"/>
      <w:szCs w:val="24"/>
      <w:u w:val="none"/>
    </w:rPr>
  </w:style>
  <w:style w:type="character" w:styleId="922" w:customStyle="1">
    <w:name w:val="font71"/>
    <w:basedOn w:val="736"/>
    <w:uiPriority w:val="0"/>
    <w:qFormat/>
    <w:rPr>
      <w:rFonts w:hint="eastAsia" w:ascii="仿宋" w:hAnsi="仿宋" w:eastAsia="仿宋" w:cs="仿宋"/>
      <w:color w:val="000000"/>
      <w:sz w:val="24"/>
      <w:szCs w:val="24"/>
      <w:u w:val="none"/>
    </w:rPr>
  </w:style>
  <w:style w:type="character" w:styleId="923" w:customStyle="1">
    <w:name w:val="font112"/>
    <w:basedOn w:val="736"/>
    <w:uiPriority w:val="0"/>
    <w:qFormat/>
    <w:rPr>
      <w:rFonts w:ascii="Times New Roman" w:hAnsi="Times New Roman" w:cs="Times New Roman"/>
      <w:color w:val="000000"/>
      <w:sz w:val="24"/>
      <w:szCs w:val="24"/>
      <w:u w:val="none"/>
    </w:rPr>
  </w:style>
  <w:style w:type="character" w:styleId="924" w:customStyle="1">
    <w:name w:val="font41"/>
    <w:basedOn w:val="736"/>
    <w:uiPriority w:val="0"/>
    <w:qFormat/>
    <w:rPr>
      <w:rFonts w:hint="eastAsia" w:ascii="仿宋" w:hAnsi="仿宋" w:eastAsia="仿宋" w:cs="仿宋"/>
      <w:color w:val="000000"/>
      <w:sz w:val="24"/>
      <w:szCs w:val="24"/>
      <w:u w:val="none"/>
    </w:rPr>
  </w:style>
  <w:style w:type="paragraph" w:styleId="9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28" w:customStyle="1">
    <w:name w:val="Char"/>
    <w:basedOn w:val="726"/>
    <w:uiPriority w:val="0"/>
    <w:qFormat/>
    <w:pPr>
      <w:ind w:firstLine="200"/>
      <w:tabs>
        <w:tab w:val="left" w:pos="360" w:leader="none"/>
      </w:tabs>
    </w:pPr>
    <w:rPr>
      <w:sz w:val="28"/>
      <w:szCs w:val="30"/>
    </w:rPr>
  </w:style>
  <w:style w:type="paragraph" w:styleId="929" w:customStyle="1">
    <w:name w:val="Normal_12_0"/>
    <w:uiPriority w:val="0"/>
    <w:qFormat/>
    <w:rPr>
      <w:rFonts w:hint="default" w:ascii="黑体" w:hAnsi="黑体" w:eastAsia="黑体" w:cs="Times New Roman"/>
      <w:b/>
      <w:sz w:val="32"/>
      <w:szCs w:val="24"/>
      <w:lang w:val="en-US" w:eastAsia="zh-CN" w:bidi="ar-SA"/>
    </w:rPr>
  </w:style>
  <w:style w:type="paragraph" w:styleId="930" w:customStyle="1">
    <w:name w:val="正文_12_0_0_0_0"/>
    <w:basedOn w:val="726"/>
    <w:uiPriority w:val="0"/>
    <w:qFormat/>
    <w:rPr>
      <w:rFonts w:ascii="Times New Roman" w:hAnsi="Times New Roman"/>
      <w:szCs w:val="24"/>
    </w:rPr>
  </w:style>
  <w:style w:type="paragraph" w:styleId="93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Normal_20"/>
    <w:uiPriority w:val="0"/>
    <w:qFormat/>
    <w:rPr>
      <w:rFonts w:hint="default" w:ascii="黑体" w:hAnsi="黑体" w:eastAsia="黑体" w:cs="黑体"/>
      <w:b/>
      <w:sz w:val="32"/>
      <w:szCs w:val="24"/>
      <w:lang w:val="en-US" w:eastAsia="zh-CN" w:bidi="ar-SA"/>
    </w:rPr>
  </w:style>
  <w:style w:type="paragraph" w:styleId="935" w:customStyle="1">
    <w:name w:val="font7"/>
    <w:basedOn w:val="726"/>
    <w:uiPriority w:val="0"/>
    <w:qFormat/>
    <w:pPr>
      <w:spacing w:before="100" w:beforeAutospacing="1" w:after="100" w:afterAutospacing="1"/>
    </w:pPr>
    <w:rPr>
      <w:rFonts w:hint="eastAsia" w:ascii="宋体" w:hAnsi="宋体"/>
      <w:sz w:val="18"/>
      <w:szCs w:val="18"/>
    </w:rPr>
  </w:style>
  <w:style w:type="paragraph" w:styleId="93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37" w:customStyle="1">
    <w:name w:val="NormalCharacter_0_0"/>
    <w:link w:val="726"/>
    <w:uiPriority w:val="0"/>
    <w:qFormat/>
    <w:rPr>
      <w:rFonts w:hint="default" w:asciiTheme="minorHAnsi" w:hAnsiTheme="minorHAnsi" w:eastAsiaTheme="minorEastAsia" w:cstheme="minorBidi"/>
      <w:sz w:val="21"/>
      <w:szCs w:val="22"/>
      <w:lang w:val="en-US" w:eastAsia="zh-CN" w:bidi="ar-SA"/>
    </w:rPr>
  </w:style>
  <w:style w:type="paragraph" w:styleId="93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页脚1"/>
    <w:basedOn w:val="726"/>
    <w:uiPriority w:val="0"/>
    <w:qFormat/>
    <w:pPr>
      <w:jc w:val="left"/>
      <w:tabs>
        <w:tab w:val="center" w:pos="4153" w:leader="none"/>
        <w:tab w:val="right" w:pos="8306" w:leader="none"/>
      </w:tabs>
    </w:pPr>
    <w:rPr>
      <w:sz w:val="18"/>
      <w:szCs w:val="18"/>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8e32512b-7c7f-4c5b-afdb-362780873208</errorID>
      <errorWord>日</errorWord>
      <group>L1_Word</group>
      <groupName>字词问题</groupName>
      <ability>L2_Typo</ability>
      <abilityName>字词错误</abilityName>
      <candidateList>
        <item>日内</item>
      </candidateList>
      <explain/>
      <paraID>171D589B</paraID>
      <start>27</start>
      <end>28</end>
      <status>ignored</status>
      <modifiedWord/>
      <trackRevisions>false</trackRevisions>
    </reviewItem>
    <reviewItem>
      <errorID>d0542d0b-5c99-45c0-9aad-843337435474</errorID>
      <errorWord>“.</errorWord>
      <group>L1_Punc</group>
      <groupName>标点问题</groupName>
      <ability>L2_Punc</ability>
      <abilityName>标点符号检查</abilityName>
      <candidateList>
        <item>“</item>
      </candidateList>
      <explain/>
      <paraID> 73EF155</paraID>
      <start>131</start>
      <end>133</end>
      <status>ignored</status>
      <modifiedWord/>
      <trackRevisions>false</trackRevisions>
    </reviewItem>
    <reviewItem>
      <errorID>afad36ad-669b-4f02-b5d1-4f14eff73199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AFCDC4</paraID>
      <start>16</start>
      <end>17</end>
      <status>ignored</status>
      <modifiedWord/>
      <trackRevisions>false</trackRevisions>
    </reviewItem>
    <reviewItem>
      <errorID>7e57913d-3661-42c4-95a3-de41d8713b53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701D175E</paraID>
      <start>114</start>
      <end>115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7C9E03-AADE-47CC-933F-76A1470ABA1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罗明</cp:lastModifiedBy>
  <cp:revision>5</cp:revision>
  <dcterms:created xsi:type="dcterms:W3CDTF">2026-03-23T07:43:00Z</dcterms:created>
  <dcterms:modified xsi:type="dcterms:W3CDTF">2026-04-28T09:49:10Z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D1976CFD2CF64736AE7EB223641C514D_11</vt:lpwstr>
  </property>
  <property fmtid="{D5CDD505-2E9C-101B-9397-08002B2CF9AE}" pid="4" name="KSOTemplateDocerSaveRecord">
    <vt:lpwstr>eyJoZGlkIjoiNzMwYmJiYjcxMmE3OWQ0YjYwYzZlMDJjMTA4MWI4MTciLCJ1c2VySWQiOiIyNDE0OTE0MjUifQ==</vt:lpwstr>
  </property>
</Properties>
</file>